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EA5">
      <w:pPr>
        <w:rPr>
          <w:sz w:val="20"/>
          <w:szCs w:val="20"/>
        </w:rPr>
        <w:sectPr>
          <w:headerReference r:id="rId6" w:type="first"/>
          <w:footerReference r:id="rId8" w:type="first"/>
          <w:headerReference r:id="rId5" w:type="default"/>
          <w:footerReference r:id="rId7" w:type="default"/>
          <w:pgSz w:w="11906" w:h="16838"/>
          <w:pgMar w:top="1134" w:right="1418" w:bottom="1701" w:left="1418" w:header="1126" w:footer="851" w:gutter="0"/>
          <w:cols w:space="708" w:num="1"/>
          <w:docGrid w:linePitch="360" w:charSpace="0"/>
        </w:sectPr>
      </w:pPr>
    </w:p>
    <w:p w14:paraId="3642D1CD">
      <w:pPr>
        <w:rPr>
          <w:sz w:val="20"/>
          <w:szCs w:val="20"/>
        </w:rPr>
      </w:pPr>
    </w:p>
    <w:p w14:paraId="133B58A1">
      <w:pPr>
        <w:rPr>
          <w:sz w:val="20"/>
          <w:szCs w:val="20"/>
        </w:rPr>
      </w:pPr>
    </w:p>
    <w:p w14:paraId="14D9D8AF">
      <w:pPr>
        <w:jc w:val="center"/>
        <w:rPr>
          <w:rStyle w:val="15"/>
          <w:sz w:val="20"/>
          <w:szCs w:val="20"/>
        </w:rPr>
      </w:pPr>
    </w:p>
    <w:p w14:paraId="35E779CC">
      <w:pPr>
        <w:jc w:val="center"/>
        <w:rPr>
          <w:rStyle w:val="15"/>
          <w:sz w:val="20"/>
          <w:szCs w:val="20"/>
        </w:rPr>
      </w:pPr>
      <w:r>
        <w:rPr>
          <w:rStyle w:val="15"/>
          <w:sz w:val="20"/>
          <w:szCs w:val="20"/>
        </w:rPr>
        <w:t>MARCHÉ PUBLIC DE SERVICES</w:t>
      </w:r>
    </w:p>
    <w:p w14:paraId="2B190652">
      <w:pPr>
        <w:jc w:val="center"/>
        <w:rPr>
          <w:rStyle w:val="15"/>
          <w:sz w:val="20"/>
          <w:szCs w:val="20"/>
        </w:rPr>
      </w:pPr>
      <w:r>
        <w:rPr>
          <w:rStyle w:val="15"/>
          <w:sz w:val="20"/>
          <w:szCs w:val="20"/>
        </w:rPr>
        <w:t>Procédure adaptée</w:t>
      </w:r>
    </w:p>
    <w:p w14:paraId="7A722723">
      <w:pPr>
        <w:jc w:val="center"/>
        <w:rPr>
          <w:sz w:val="20"/>
          <w:szCs w:val="20"/>
        </w:rPr>
      </w:pPr>
    </w:p>
    <w:p w14:paraId="56FD2BA2">
      <w:pPr>
        <w:pStyle w:val="16"/>
        <w:spacing w:before="0" w:after="0"/>
        <w:rPr>
          <w:sz w:val="20"/>
          <w:szCs w:val="20"/>
        </w:rPr>
      </w:pPr>
      <w:bookmarkStart w:id="0" w:name="_Hlk178169239"/>
      <w:bookmarkStart w:id="1" w:name="_Hlk177049246"/>
      <w:r>
        <w:rPr>
          <w:rFonts w:hint="default"/>
          <w:sz w:val="20"/>
          <w:szCs w:val="20"/>
          <w:lang w:val="fr-FR"/>
        </w:rPr>
        <w:t>DEVELOPPEMENT DES RELATIONS ENTREPRISES / ECOLES</w:t>
      </w:r>
      <w:bookmarkEnd w:id="0"/>
      <w:bookmarkEnd w:id="1"/>
      <w:r>
        <w:rPr>
          <w:sz w:val="20"/>
          <w:szCs w:val="20"/>
        </w:rPr>
        <w:t xml:space="preserve"> </w:t>
      </w:r>
    </w:p>
    <w:p w14:paraId="65E65BD5">
      <w:pPr>
        <w:rPr>
          <w:rFonts w:hint="default"/>
          <w:lang w:val="fr-FR"/>
        </w:rPr>
      </w:pPr>
    </w:p>
    <w:p w14:paraId="235F4BCC">
      <w:pPr>
        <w:pStyle w:val="16"/>
        <w:rPr>
          <w:rStyle w:val="15"/>
          <w:b w:val="0"/>
          <w:iCs w:val="0"/>
          <w:sz w:val="20"/>
          <w:szCs w:val="20"/>
        </w:rPr>
      </w:pPr>
      <w:r>
        <w:rPr>
          <w:rStyle w:val="15"/>
          <w:b w:val="0"/>
          <w:iCs w:val="0"/>
          <w:sz w:val="20"/>
          <w:szCs w:val="20"/>
        </w:rPr>
        <w:t>CAHIER DES CLAUSES PARTICULIÈRES VALANT ACTE D’ENGAGEMENT (CCP-AE)</w:t>
      </w:r>
    </w:p>
    <w:p w14:paraId="4E3D02BF">
      <w:pPr>
        <w:rPr>
          <w:rStyle w:val="15"/>
          <w:sz w:val="20"/>
          <w:szCs w:val="20"/>
        </w:rPr>
      </w:pPr>
    </w:p>
    <w:p w14:paraId="6E355B8A">
      <w:pPr>
        <w:jc w:val="center"/>
        <w:rPr>
          <w:rStyle w:val="15"/>
          <w:rFonts w:hint="default"/>
          <w:sz w:val="20"/>
          <w:szCs w:val="20"/>
          <w:lang w:val="fr-FR"/>
        </w:rPr>
      </w:pPr>
      <w:r>
        <w:rPr>
          <w:rStyle w:val="15"/>
          <w:sz w:val="20"/>
          <w:szCs w:val="20"/>
        </w:rPr>
        <w:t>GBM N° 2</w:t>
      </w:r>
      <w:r>
        <w:rPr>
          <w:rStyle w:val="15"/>
          <w:rFonts w:hint="default"/>
          <w:sz w:val="20"/>
          <w:szCs w:val="20"/>
          <w:lang w:val="fr-FR"/>
        </w:rPr>
        <w:t>6022</w:t>
      </w:r>
    </w:p>
    <w:p w14:paraId="154507B7">
      <w:pPr>
        <w:jc w:val="center"/>
        <w:rPr>
          <w:rStyle w:val="15"/>
          <w:rFonts w:hint="default"/>
          <w:sz w:val="20"/>
          <w:szCs w:val="20"/>
          <w:lang w:val="fr-FR"/>
        </w:rPr>
      </w:pPr>
    </w:p>
    <w:p w14:paraId="10059F98">
      <w:pPr>
        <w:pBdr>
          <w:top w:val="single" w:color="auto" w:sz="4" w:space="1"/>
          <w:left w:val="single" w:color="auto" w:sz="4" w:space="4"/>
          <w:bottom w:val="single" w:color="auto" w:sz="4" w:space="1"/>
          <w:right w:val="single" w:color="auto" w:sz="4" w:space="4"/>
        </w:pBdr>
        <w:jc w:val="center"/>
        <w:rPr>
          <w:sz w:val="20"/>
          <w:szCs w:val="20"/>
        </w:rPr>
      </w:pPr>
      <w:r>
        <w:rPr>
          <w:sz w:val="20"/>
          <w:szCs w:val="20"/>
        </w:rPr>
        <w:t>Marché n°</w:t>
      </w:r>
    </w:p>
    <w:p w14:paraId="6C9585F5">
      <w:pPr>
        <w:pBdr>
          <w:top w:val="single" w:color="auto" w:sz="4" w:space="1"/>
          <w:left w:val="single" w:color="auto" w:sz="4" w:space="4"/>
          <w:bottom w:val="single" w:color="auto" w:sz="4" w:space="1"/>
          <w:right w:val="single" w:color="auto" w:sz="4" w:space="4"/>
        </w:pBdr>
        <w:jc w:val="center"/>
        <w:rPr>
          <w:sz w:val="20"/>
          <w:szCs w:val="20"/>
        </w:rPr>
      </w:pPr>
    </w:p>
    <w:p w14:paraId="38CE5A13">
      <w:pPr>
        <w:pBdr>
          <w:top w:val="single" w:color="auto" w:sz="4" w:space="1"/>
          <w:left w:val="single" w:color="auto" w:sz="4" w:space="4"/>
          <w:bottom w:val="single" w:color="auto" w:sz="4" w:space="1"/>
          <w:right w:val="single" w:color="auto" w:sz="4" w:space="4"/>
        </w:pBdr>
        <w:jc w:val="center"/>
        <w:rPr>
          <w:sz w:val="20"/>
          <w:szCs w:val="20"/>
        </w:rPr>
      </w:pPr>
    </w:p>
    <w:p w14:paraId="42C83168">
      <w:pPr>
        <w:pBdr>
          <w:top w:val="single" w:color="auto" w:sz="4" w:space="1"/>
          <w:left w:val="single" w:color="auto" w:sz="4" w:space="4"/>
          <w:bottom w:val="single" w:color="auto" w:sz="4" w:space="1"/>
          <w:right w:val="single" w:color="auto" w:sz="4" w:space="4"/>
        </w:pBdr>
        <w:jc w:val="center"/>
        <w:rPr>
          <w:sz w:val="20"/>
          <w:szCs w:val="20"/>
        </w:rPr>
      </w:pPr>
    </w:p>
    <w:p w14:paraId="17494C13">
      <w:pPr>
        <w:jc w:val="center"/>
        <w:rPr>
          <w:sz w:val="20"/>
          <w:szCs w:val="20"/>
        </w:rPr>
      </w:pPr>
    </w:p>
    <w:p w14:paraId="08061916">
      <w:pPr>
        <w:jc w:val="center"/>
        <w:rPr>
          <w:sz w:val="20"/>
          <w:szCs w:val="20"/>
        </w:rPr>
      </w:pPr>
    </w:p>
    <w:p w14:paraId="332C3435">
      <w:pPr>
        <w:pStyle w:val="64"/>
        <w:shd w:val="clear" w:color="auto" w:fill="C2E0EB" w:themeFill="accent5" w:themeFillTint="66"/>
        <w:jc w:val="center"/>
        <w:rPr>
          <w:b/>
          <w:bCs/>
          <w:sz w:val="20"/>
          <w:szCs w:val="20"/>
        </w:rPr>
      </w:pPr>
      <w:r>
        <w:rPr>
          <w:b/>
          <w:bCs/>
          <w:sz w:val="20"/>
          <w:szCs w:val="20"/>
        </w:rPr>
        <w:t>Service responsable de la passation du marché :</w:t>
      </w:r>
    </w:p>
    <w:p w14:paraId="41DBB10B">
      <w:pPr>
        <w:pStyle w:val="64"/>
        <w:shd w:val="clear" w:color="auto" w:fill="C2E0EB" w:themeFill="accent5" w:themeFillTint="66"/>
        <w:jc w:val="center"/>
        <w:rPr>
          <w:sz w:val="20"/>
          <w:szCs w:val="20"/>
        </w:rPr>
      </w:pPr>
      <w:r>
        <w:rPr>
          <w:sz w:val="20"/>
          <w:szCs w:val="20"/>
        </w:rPr>
        <w:t>Secrétariat Général</w:t>
      </w:r>
    </w:p>
    <w:p w14:paraId="2423BA08">
      <w:pPr>
        <w:pStyle w:val="64"/>
        <w:shd w:val="clear" w:color="auto" w:fill="C2E0EB" w:themeFill="accent5" w:themeFillTint="66"/>
        <w:jc w:val="center"/>
        <w:rPr>
          <w:sz w:val="20"/>
          <w:szCs w:val="20"/>
        </w:rPr>
      </w:pPr>
      <w:r>
        <w:rPr>
          <w:sz w:val="20"/>
          <w:szCs w:val="20"/>
        </w:rPr>
        <w:t>Service des Achats et des Marchés</w:t>
      </w:r>
    </w:p>
    <w:p w14:paraId="09A47FE1">
      <w:pPr>
        <w:pStyle w:val="64"/>
        <w:shd w:val="clear" w:color="auto" w:fill="C2E0EB" w:themeFill="accent5" w:themeFillTint="66"/>
        <w:jc w:val="center"/>
        <w:rPr>
          <w:sz w:val="20"/>
          <w:szCs w:val="20"/>
        </w:rPr>
      </w:pPr>
      <w:r>
        <w:rPr>
          <w:sz w:val="20"/>
          <w:szCs w:val="20"/>
        </w:rPr>
        <w:t>Département des marchés</w:t>
      </w:r>
    </w:p>
    <w:p w14:paraId="06CA8C58">
      <w:pPr>
        <w:pStyle w:val="64"/>
        <w:shd w:val="clear" w:color="auto" w:fill="C2E0EB" w:themeFill="accent5" w:themeFillTint="66"/>
        <w:jc w:val="center"/>
        <w:rPr>
          <w:sz w:val="20"/>
          <w:szCs w:val="20"/>
        </w:rPr>
      </w:pPr>
      <w:r>
        <w:rPr>
          <w:sz w:val="20"/>
          <w:szCs w:val="20"/>
        </w:rPr>
        <w:t>73 avenue de Paris</w:t>
      </w:r>
    </w:p>
    <w:p w14:paraId="73F8F76D">
      <w:pPr>
        <w:pStyle w:val="64"/>
        <w:shd w:val="clear" w:color="auto" w:fill="C2E0EB" w:themeFill="accent5" w:themeFillTint="66"/>
        <w:jc w:val="center"/>
        <w:rPr>
          <w:sz w:val="20"/>
          <w:szCs w:val="20"/>
        </w:rPr>
      </w:pPr>
      <w:r>
        <w:rPr>
          <w:sz w:val="20"/>
          <w:szCs w:val="20"/>
        </w:rPr>
        <w:t>94165 Saint-Mandé CEDEX</w:t>
      </w:r>
    </w:p>
    <w:p w14:paraId="5E8D31A6">
      <w:pPr>
        <w:rPr>
          <w:sz w:val="20"/>
          <w:szCs w:val="20"/>
        </w:rPr>
      </w:pPr>
    </w:p>
    <w:p w14:paraId="1D34480B">
      <w:pPr>
        <w:rPr>
          <w:sz w:val="20"/>
          <w:szCs w:val="20"/>
        </w:rPr>
      </w:pPr>
    </w:p>
    <w:p w14:paraId="51BF799C">
      <w:pPr>
        <w:rPr>
          <w:sz w:val="20"/>
          <w:szCs w:val="20"/>
        </w:rPr>
      </w:pPr>
    </w:p>
    <w:p w14:paraId="29CD0F0F">
      <w:pPr>
        <w:rPr>
          <w:sz w:val="20"/>
          <w:szCs w:val="20"/>
        </w:rPr>
      </w:pPr>
      <w:r>
        <w:rPr>
          <w:sz w:val="20"/>
          <w:szCs w:val="20"/>
        </w:rPr>
        <w:br w:type="page"/>
      </w:r>
    </w:p>
    <w:p w14:paraId="40A1E3AD">
      <w:pPr>
        <w:pStyle w:val="2"/>
        <w:pageBreakBefore/>
        <w:ind w:left="431" w:hanging="431"/>
        <w:rPr>
          <w:sz w:val="20"/>
          <w:szCs w:val="20"/>
        </w:rPr>
      </w:pPr>
      <w:r>
        <w:rPr>
          <w:sz w:val="20"/>
          <w:szCs w:val="20"/>
        </w:rPr>
        <w:t>IDENTIFICATION DES PARTIES</w:t>
      </w:r>
    </w:p>
    <w:p w14:paraId="04C12612">
      <w:pPr>
        <w:pStyle w:val="3"/>
        <w:ind w:left="796" w:leftChars="0" w:firstLineChars="0"/>
        <w:rPr>
          <w:sz w:val="20"/>
          <w:szCs w:val="20"/>
        </w:rPr>
      </w:pPr>
      <w:r>
        <w:rPr>
          <w:sz w:val="20"/>
          <w:szCs w:val="20"/>
        </w:rPr>
        <w:t>Désignation de l’acheteur</w:t>
      </w:r>
    </w:p>
    <w:p w14:paraId="1E688A53">
      <w:pPr>
        <w:contextualSpacing/>
        <w:rPr>
          <w:sz w:val="20"/>
          <w:szCs w:val="20"/>
        </w:rPr>
      </w:pPr>
      <w:r>
        <w:rPr>
          <w:sz w:val="20"/>
          <w:szCs w:val="20"/>
        </w:rPr>
        <w:t>Institut national de l’information géographique et forestière (IGN)</w:t>
      </w:r>
    </w:p>
    <w:p w14:paraId="2B8F4315">
      <w:pPr>
        <w:contextualSpacing/>
        <w:rPr>
          <w:sz w:val="20"/>
          <w:szCs w:val="20"/>
        </w:rPr>
      </w:pPr>
      <w:bookmarkStart w:id="2" w:name="_Hlk177469089"/>
      <w:r>
        <w:rPr>
          <w:sz w:val="20"/>
          <w:szCs w:val="20"/>
        </w:rPr>
        <w:t xml:space="preserve">73, avenue de </w:t>
      </w:r>
      <w:r>
        <w:rPr>
          <w:rFonts w:hint="default"/>
          <w:sz w:val="20"/>
          <w:szCs w:val="20"/>
          <w:lang w:val="fr-FR"/>
        </w:rPr>
        <w:t>P</w:t>
      </w:r>
      <w:r>
        <w:rPr>
          <w:sz w:val="20"/>
          <w:szCs w:val="20"/>
        </w:rPr>
        <w:t>aris – 94165 Saint-Mandé</w:t>
      </w:r>
    </w:p>
    <w:bookmarkEnd w:id="2"/>
    <w:p w14:paraId="7EFAC43C">
      <w:pPr>
        <w:contextualSpacing/>
        <w:rPr>
          <w:sz w:val="20"/>
          <w:szCs w:val="20"/>
        </w:rPr>
      </w:pPr>
      <w:r>
        <w:rPr>
          <w:sz w:val="20"/>
          <w:szCs w:val="20"/>
        </w:rPr>
        <w:t xml:space="preserve">Tél. : 01 43 98 82 16 </w:t>
      </w:r>
    </w:p>
    <w:p w14:paraId="75471FB7">
      <w:pPr>
        <w:rPr>
          <w:sz w:val="20"/>
          <w:szCs w:val="20"/>
        </w:rPr>
      </w:pPr>
      <w:r>
        <w:rPr>
          <w:sz w:val="20"/>
          <w:szCs w:val="20"/>
        </w:rPr>
        <w:t xml:space="preserve">Courriel : </w:t>
      </w:r>
      <w:r>
        <w:fldChar w:fldCharType="begin"/>
      </w:r>
      <w:r>
        <w:instrText xml:space="preserve"> HYPERLINK "mailto:marches-publics@ign.fr" </w:instrText>
      </w:r>
      <w:r>
        <w:fldChar w:fldCharType="separate"/>
      </w:r>
      <w:r>
        <w:rPr>
          <w:rStyle w:val="12"/>
          <w:sz w:val="20"/>
          <w:szCs w:val="20"/>
        </w:rPr>
        <w:t>marches-publics@ign.fr</w:t>
      </w:r>
      <w:r>
        <w:rPr>
          <w:rStyle w:val="12"/>
          <w:sz w:val="20"/>
          <w:szCs w:val="20"/>
        </w:rPr>
        <w:fldChar w:fldCharType="end"/>
      </w:r>
    </w:p>
    <w:p w14:paraId="6EAD1077">
      <w:pPr>
        <w:rPr>
          <w:sz w:val="20"/>
          <w:szCs w:val="20"/>
        </w:rPr>
      </w:pPr>
      <w:r>
        <w:rPr>
          <w:sz w:val="20"/>
          <w:szCs w:val="20"/>
        </w:rPr>
        <w:t>Représentant</w:t>
      </w:r>
      <w:r>
        <w:rPr>
          <w:rFonts w:ascii="Calibri" w:hAnsi="Calibri" w:cs="Calibri"/>
          <w:sz w:val="20"/>
          <w:szCs w:val="20"/>
        </w:rPr>
        <w:t> </w:t>
      </w:r>
      <w:r>
        <w:rPr>
          <w:sz w:val="20"/>
          <w:szCs w:val="20"/>
        </w:rPr>
        <w:t>: SORIANO Sébastien, directeur général, nommé par décret du 16</w:t>
      </w:r>
      <w:r>
        <w:rPr>
          <w:rFonts w:ascii="Calibri" w:hAnsi="Calibri" w:cs="Calibri"/>
          <w:sz w:val="20"/>
          <w:szCs w:val="20"/>
        </w:rPr>
        <w:t> </w:t>
      </w:r>
      <w:r>
        <w:rPr>
          <w:sz w:val="20"/>
          <w:szCs w:val="20"/>
        </w:rPr>
        <w:t>décembre 2020 (JORF n° 0304 du 17 décembre 2020)</w:t>
      </w:r>
    </w:p>
    <w:p w14:paraId="4E34AFEB">
      <w:pPr>
        <w:pStyle w:val="3"/>
        <w:ind w:left="796" w:leftChars="0" w:firstLineChars="0"/>
        <w:rPr>
          <w:sz w:val="20"/>
          <w:szCs w:val="20"/>
        </w:rPr>
      </w:pPr>
      <w:r>
        <w:rPr>
          <w:sz w:val="20"/>
          <w:szCs w:val="20"/>
        </w:rPr>
        <w:t>Identification du titulaire</w:t>
      </w:r>
    </w:p>
    <w:p w14:paraId="7E42F432">
      <w:pPr>
        <w:rPr>
          <w:sz w:val="20"/>
          <w:szCs w:val="20"/>
        </w:rPr>
      </w:pPr>
      <w:r>
        <w:rPr>
          <w:sz w:val="20"/>
          <w:szCs w:val="20"/>
        </w:rPr>
        <w:t>Nom commercial et dénomination sociale de l’unité ou de l’établissement qui exécutera la prestation :</w:t>
      </w:r>
    </w:p>
    <w:p w14:paraId="17E52E1C">
      <w:pPr>
        <w:rPr>
          <w:sz w:val="20"/>
          <w:szCs w:val="20"/>
        </w:rPr>
      </w:pPr>
    </w:p>
    <w:p w14:paraId="4E26A311">
      <w:pPr>
        <w:rPr>
          <w:sz w:val="20"/>
          <w:szCs w:val="20"/>
        </w:rPr>
      </w:pPr>
      <w:r>
        <w:rPr>
          <w:sz w:val="20"/>
          <w:szCs w:val="20"/>
        </w:rPr>
        <w:t>Adresse postale et du siège social (si elle est différente de l’adresse postale) :</w:t>
      </w:r>
    </w:p>
    <w:p w14:paraId="37234363">
      <w:pPr>
        <w:rPr>
          <w:sz w:val="20"/>
          <w:szCs w:val="20"/>
        </w:rPr>
      </w:pPr>
    </w:p>
    <w:p w14:paraId="5EDCF9EA">
      <w:pPr>
        <w:rPr>
          <w:sz w:val="20"/>
          <w:szCs w:val="20"/>
        </w:rPr>
      </w:pPr>
      <w:r>
        <w:rPr>
          <w:sz w:val="20"/>
          <w:szCs w:val="20"/>
        </w:rPr>
        <w:t>Adresse électronique :</w:t>
      </w:r>
    </w:p>
    <w:p w14:paraId="6A536ABF">
      <w:pPr>
        <w:rPr>
          <w:sz w:val="20"/>
          <w:szCs w:val="20"/>
        </w:rPr>
      </w:pPr>
      <w:r>
        <w:rPr>
          <w:sz w:val="20"/>
          <w:szCs w:val="20"/>
        </w:rPr>
        <w:t>Numéros de téléphone :</w:t>
      </w:r>
    </w:p>
    <w:p w14:paraId="43AB01B4">
      <w:pPr>
        <w:rPr>
          <w:sz w:val="20"/>
          <w:szCs w:val="20"/>
        </w:rPr>
      </w:pPr>
      <w:r>
        <w:rPr>
          <w:sz w:val="20"/>
          <w:szCs w:val="20"/>
        </w:rPr>
        <w:t>Numéro de SIRET :</w:t>
      </w:r>
    </w:p>
    <w:p w14:paraId="75463A20">
      <w:pPr>
        <w:pStyle w:val="2"/>
        <w:rPr>
          <w:sz w:val="20"/>
          <w:szCs w:val="20"/>
        </w:rPr>
      </w:pPr>
      <w:r>
        <w:rPr>
          <w:sz w:val="20"/>
          <w:szCs w:val="20"/>
        </w:rPr>
        <w:t>OBJET DU MARCHÉ ET ALLOTISSEMENT</w:t>
      </w:r>
    </w:p>
    <w:p w14:paraId="20C249D5">
      <w:pPr>
        <w:rPr>
          <w:sz w:val="20"/>
          <w:szCs w:val="20"/>
        </w:rPr>
      </w:pPr>
      <w:bookmarkStart w:id="3" w:name="_Hlk178342406"/>
      <w:r>
        <w:rPr>
          <w:sz w:val="20"/>
          <w:szCs w:val="20"/>
        </w:rPr>
        <w:t>Cette formation est destinée à compléter et développer les connaissances et compétences de la chargée des relations école/entreprises, dans toutes les dimensions de son poste : suivi et développement des réseaux, collecte de la taxe d’apprentissage, déploiement de filières en alternance, collecte de fonds, mécénat, mise en place de partenariats divers (parrainage, sponsoring, projets pédagogiques, visites, conférences métiers, chaires…) avec des entreprises, des chercheurs, des industriels…</w:t>
      </w:r>
    </w:p>
    <w:p w14:paraId="5BDBB7CC">
      <w:pPr>
        <w:pStyle w:val="2"/>
        <w:spacing w:before="0" w:after="0"/>
        <w:rPr>
          <w:sz w:val="20"/>
          <w:szCs w:val="20"/>
        </w:rPr>
      </w:pPr>
      <w:r>
        <w:rPr>
          <w:sz w:val="20"/>
          <w:szCs w:val="20"/>
        </w:rPr>
        <w:t xml:space="preserve">DISPOSITIONS TECHNIQUES </w:t>
      </w:r>
      <w:bookmarkEnd w:id="3"/>
    </w:p>
    <w:p w14:paraId="5FA46FDC">
      <w:pPr>
        <w:pStyle w:val="3"/>
        <w:numPr>
          <w:ilvl w:val="0"/>
          <w:numId w:val="0"/>
        </w:numPr>
        <w:spacing w:before="0" w:after="0"/>
        <w:ind w:left="578"/>
        <w:rPr>
          <w:sz w:val="20"/>
          <w:szCs w:val="20"/>
        </w:rPr>
      </w:pPr>
      <w:bookmarkStart w:id="4" w:name="_Hlk182991395"/>
    </w:p>
    <w:p w14:paraId="62A05287">
      <w:pPr>
        <w:pStyle w:val="3"/>
        <w:numPr>
          <w:ilvl w:val="0"/>
          <w:numId w:val="8"/>
        </w:numPr>
        <w:spacing w:before="0" w:after="0"/>
        <w:ind w:left="425" w:leftChars="0" w:hanging="425" w:firstLineChars="0"/>
        <w:rPr>
          <w:rFonts w:hint="default"/>
          <w:sz w:val="20"/>
          <w:szCs w:val="20"/>
          <w:lang w:val="fr-FR"/>
        </w:rPr>
      </w:pPr>
      <w:r>
        <w:rPr>
          <w:sz w:val="20"/>
          <w:szCs w:val="20"/>
        </w:rPr>
        <w:t>Contexte et enjeu</w:t>
      </w:r>
      <w:bookmarkEnd w:id="4"/>
      <w:r>
        <w:rPr>
          <w:rFonts w:hint="default"/>
          <w:sz w:val="20"/>
          <w:szCs w:val="20"/>
          <w:lang w:val="fr-FR"/>
        </w:rPr>
        <w:t>x</w:t>
      </w:r>
    </w:p>
    <w:p w14:paraId="5D056BA5">
      <w:pPr>
        <w:rPr>
          <w:sz w:val="20"/>
          <w:szCs w:val="20"/>
        </w:rPr>
      </w:pPr>
      <w:r>
        <w:rPr>
          <w:sz w:val="20"/>
          <w:szCs w:val="20"/>
        </w:rPr>
        <w:t xml:space="preserve">L’objectif principal pour l’agent après avoir suivi cette formation sera de parvenir à atteindre ses objectifs efficacement, avec les bons outils, réflexes et procédures à suivre.  </w:t>
      </w:r>
    </w:p>
    <w:p w14:paraId="04930437">
      <w:pPr>
        <w:pStyle w:val="3"/>
        <w:numPr>
          <w:ilvl w:val="0"/>
          <w:numId w:val="8"/>
        </w:numPr>
        <w:spacing w:before="0" w:after="0"/>
        <w:ind w:left="425" w:leftChars="0" w:hanging="425" w:firstLineChars="0"/>
        <w:rPr>
          <w:rFonts w:hint="default"/>
          <w:sz w:val="20"/>
          <w:szCs w:val="20"/>
          <w:lang w:val="fr-FR"/>
        </w:rPr>
      </w:pPr>
      <w:r>
        <w:rPr>
          <w:rFonts w:hint="default"/>
          <w:sz w:val="20"/>
          <w:szCs w:val="20"/>
          <w:lang w:val="fr-FR"/>
        </w:rPr>
        <w:t>O</w:t>
      </w:r>
      <w:r>
        <w:rPr>
          <w:sz w:val="20"/>
          <w:szCs w:val="20"/>
        </w:rPr>
        <w:t xml:space="preserve">bjectifs </w:t>
      </w:r>
      <w:r>
        <w:rPr>
          <w:rFonts w:hint="default"/>
          <w:sz w:val="20"/>
          <w:szCs w:val="20"/>
          <w:lang w:val="fr-FR"/>
        </w:rPr>
        <w:t xml:space="preserve">opérationnels et attendus </w:t>
      </w:r>
      <w:r>
        <w:rPr>
          <w:sz w:val="20"/>
          <w:szCs w:val="20"/>
        </w:rPr>
        <w:t>de</w:t>
      </w:r>
      <w:r>
        <w:rPr>
          <w:rFonts w:hint="default"/>
          <w:sz w:val="20"/>
          <w:szCs w:val="20"/>
          <w:lang w:val="fr-FR"/>
        </w:rPr>
        <w:t xml:space="preserve"> la </w:t>
      </w:r>
      <w:r>
        <w:rPr>
          <w:sz w:val="20"/>
          <w:szCs w:val="20"/>
        </w:rPr>
        <w:t>formation</w:t>
      </w:r>
    </w:p>
    <w:p w14:paraId="20F6956F">
      <w:pPr>
        <w:numPr>
          <w:ilvl w:val="0"/>
          <w:numId w:val="9"/>
        </w:numPr>
        <w:ind w:left="840" w:leftChars="0" w:hanging="420" w:firstLineChars="0"/>
        <w:rPr>
          <w:sz w:val="20"/>
          <w:szCs w:val="20"/>
        </w:rPr>
      </w:pPr>
      <w:r>
        <w:rPr>
          <w:sz w:val="20"/>
          <w:szCs w:val="20"/>
        </w:rPr>
        <w:t xml:space="preserve">Structurer et piloter efficacement le développement du réseau de partenaires ; </w:t>
      </w:r>
    </w:p>
    <w:p w14:paraId="587FAB50">
      <w:pPr>
        <w:numPr>
          <w:ilvl w:val="0"/>
          <w:numId w:val="9"/>
        </w:numPr>
        <w:ind w:left="840" w:leftChars="0" w:hanging="420" w:firstLineChars="0"/>
        <w:rPr>
          <w:sz w:val="20"/>
          <w:szCs w:val="20"/>
        </w:rPr>
      </w:pPr>
      <w:r>
        <w:rPr>
          <w:sz w:val="20"/>
          <w:szCs w:val="20"/>
        </w:rPr>
        <w:t xml:space="preserve">Imaginer et mettre en place des partenariats structurants pour l’école ; </w:t>
      </w:r>
    </w:p>
    <w:p w14:paraId="30D7DB92">
      <w:pPr>
        <w:numPr>
          <w:ilvl w:val="0"/>
          <w:numId w:val="9"/>
        </w:numPr>
        <w:ind w:left="840" w:leftChars="0" w:hanging="420" w:firstLineChars="0"/>
        <w:rPr>
          <w:sz w:val="20"/>
          <w:szCs w:val="20"/>
        </w:rPr>
      </w:pPr>
      <w:r>
        <w:rPr>
          <w:sz w:val="20"/>
          <w:szCs w:val="20"/>
        </w:rPr>
        <w:t xml:space="preserve">Améliorer la collecte de la taxe d’apprentissage et son suivi </w:t>
      </w:r>
    </w:p>
    <w:p w14:paraId="2ECF8C28">
      <w:pPr>
        <w:numPr>
          <w:ilvl w:val="0"/>
          <w:numId w:val="9"/>
        </w:numPr>
        <w:ind w:left="840" w:leftChars="0" w:hanging="420" w:firstLineChars="0"/>
        <w:rPr>
          <w:rFonts w:hint="default"/>
          <w:sz w:val="20"/>
          <w:szCs w:val="20"/>
          <w:lang w:val="fr-FR"/>
        </w:rPr>
      </w:pPr>
      <w:r>
        <w:rPr>
          <w:sz w:val="20"/>
          <w:szCs w:val="20"/>
        </w:rPr>
        <w:t>Développer la collecte de fonds et le mécénat (via la Fondation de l’école notamment)</w:t>
      </w:r>
      <w:r>
        <w:rPr>
          <w:rFonts w:hint="default"/>
          <w:sz w:val="20"/>
          <w:szCs w:val="20"/>
          <w:lang w:val="fr-FR"/>
        </w:rPr>
        <w:t>.</w:t>
      </w:r>
    </w:p>
    <w:p w14:paraId="3D1072AA">
      <w:pPr>
        <w:numPr>
          <w:ilvl w:val="0"/>
          <w:numId w:val="0"/>
        </w:numPr>
        <w:spacing w:before="120" w:after="120" w:line="240" w:lineRule="auto"/>
        <w:jc w:val="both"/>
        <w:rPr>
          <w:rFonts w:hint="default"/>
          <w:sz w:val="20"/>
          <w:szCs w:val="20"/>
          <w:lang w:val="fr-FR"/>
        </w:rPr>
      </w:pPr>
    </w:p>
    <w:p w14:paraId="077B6E36">
      <w:pPr>
        <w:numPr>
          <w:ilvl w:val="0"/>
          <w:numId w:val="0"/>
        </w:numPr>
        <w:spacing w:before="120" w:after="120" w:line="240" w:lineRule="auto"/>
        <w:jc w:val="both"/>
        <w:rPr>
          <w:rFonts w:hint="default"/>
          <w:sz w:val="20"/>
          <w:szCs w:val="20"/>
          <w:lang w:val="fr-FR"/>
        </w:rPr>
      </w:pPr>
    </w:p>
    <w:p w14:paraId="319D252D">
      <w:pPr>
        <w:numPr>
          <w:ilvl w:val="0"/>
          <w:numId w:val="0"/>
        </w:numPr>
        <w:spacing w:before="120" w:after="120" w:line="240" w:lineRule="auto"/>
        <w:jc w:val="both"/>
        <w:rPr>
          <w:rFonts w:hint="default"/>
          <w:sz w:val="20"/>
          <w:szCs w:val="20"/>
          <w:lang w:val="fr-FR"/>
        </w:rPr>
      </w:pPr>
    </w:p>
    <w:p w14:paraId="6C51EF8C">
      <w:pPr>
        <w:pStyle w:val="3"/>
        <w:numPr>
          <w:ilvl w:val="0"/>
          <w:numId w:val="8"/>
        </w:numPr>
        <w:spacing w:before="0" w:after="0"/>
        <w:ind w:left="425" w:leftChars="0" w:hanging="425" w:firstLineChars="0"/>
        <w:rPr>
          <w:rFonts w:hint="default"/>
          <w:sz w:val="20"/>
          <w:szCs w:val="20"/>
          <w:lang w:val="fr-FR"/>
        </w:rPr>
      </w:pPr>
      <w:r>
        <w:rPr>
          <w:rFonts w:hint="default"/>
          <w:sz w:val="20"/>
          <w:szCs w:val="20"/>
          <w:lang w:val="fr-FR"/>
        </w:rPr>
        <w:t>O</w:t>
      </w:r>
      <w:r>
        <w:rPr>
          <w:sz w:val="20"/>
          <w:szCs w:val="20"/>
        </w:rPr>
        <w:t>bjectifs de</w:t>
      </w:r>
      <w:r>
        <w:rPr>
          <w:rFonts w:hint="default"/>
          <w:sz w:val="20"/>
          <w:szCs w:val="20"/>
          <w:lang w:val="fr-FR"/>
        </w:rPr>
        <w:t xml:space="preserve"> la </w:t>
      </w:r>
      <w:r>
        <w:rPr>
          <w:sz w:val="20"/>
          <w:szCs w:val="20"/>
        </w:rPr>
        <w:t>formation</w:t>
      </w:r>
    </w:p>
    <w:p w14:paraId="5166CCE8">
      <w:pPr>
        <w:rPr>
          <w:sz w:val="20"/>
          <w:szCs w:val="20"/>
        </w:rPr>
      </w:pPr>
      <w:r>
        <w:rPr>
          <w:sz w:val="20"/>
          <w:szCs w:val="20"/>
        </w:rPr>
        <w:t xml:space="preserve">Grâce aux outils, méthodes et bonnes pratiques abordés au cours de la formation, le stagiaire devra pouvoir gérer les relations entreprises de manière plus structurée, stratégique, professionnelle et avec un suivi plus efficace.  </w:t>
      </w:r>
    </w:p>
    <w:p w14:paraId="47E8E67D">
      <w:pPr>
        <w:pStyle w:val="3"/>
        <w:numPr>
          <w:ilvl w:val="0"/>
          <w:numId w:val="8"/>
        </w:numPr>
        <w:ind w:left="425" w:leftChars="0" w:hanging="425" w:firstLineChars="0"/>
        <w:rPr>
          <w:sz w:val="20"/>
          <w:szCs w:val="20"/>
        </w:rPr>
      </w:pPr>
      <w:bookmarkStart w:id="5" w:name="_Hlk184984198"/>
      <w:r>
        <w:rPr>
          <w:sz w:val="20"/>
          <w:szCs w:val="20"/>
        </w:rPr>
        <w:t>Public cible de la formation</w:t>
      </w:r>
      <w:r>
        <w:rPr>
          <w:rFonts w:hint="default"/>
          <w:sz w:val="20"/>
          <w:szCs w:val="20"/>
          <w:lang w:val="fr-FR"/>
        </w:rPr>
        <w:t>:</w:t>
      </w:r>
    </w:p>
    <w:p w14:paraId="47F6661E">
      <w:pPr>
        <w:rPr>
          <w:rFonts w:hint="default"/>
          <w:sz w:val="20"/>
          <w:szCs w:val="20"/>
          <w:lang w:val="fr-FR"/>
        </w:rPr>
      </w:pPr>
      <w:r>
        <w:rPr>
          <w:rFonts w:hint="default"/>
          <w:sz w:val="20"/>
          <w:szCs w:val="20"/>
          <w:lang w:val="fr-FR"/>
        </w:rPr>
        <w:t xml:space="preserve">Nombre de stagiaires à former: </w:t>
      </w:r>
      <w:r>
        <w:rPr>
          <w:rFonts w:hint="default"/>
          <w:b/>
          <w:bCs/>
          <w:sz w:val="20"/>
          <w:szCs w:val="20"/>
          <w:lang w:val="fr-FR"/>
        </w:rPr>
        <w:t>1</w:t>
      </w:r>
    </w:p>
    <w:p w14:paraId="0FF184D4">
      <w:pPr>
        <w:rPr>
          <w:rFonts w:hint="default"/>
          <w:b/>
          <w:bCs/>
          <w:sz w:val="20"/>
          <w:szCs w:val="20"/>
          <w:lang w:val="fr-FR"/>
        </w:rPr>
      </w:pPr>
      <w:r>
        <w:rPr>
          <w:rFonts w:hint="default"/>
          <w:sz w:val="20"/>
          <w:szCs w:val="20"/>
          <w:lang w:val="fr-FR"/>
        </w:rPr>
        <w:t xml:space="preserve">Fonction de la stagiaire: </w:t>
      </w:r>
      <w:r>
        <w:rPr>
          <w:rFonts w:hint="default"/>
          <w:b/>
          <w:bCs/>
          <w:sz w:val="20"/>
          <w:szCs w:val="20"/>
          <w:lang w:val="fr-FR"/>
        </w:rPr>
        <w:t>Chargée des relations entreprises</w:t>
      </w:r>
    </w:p>
    <w:p w14:paraId="3C382D60">
      <w:pPr>
        <w:rPr>
          <w:rFonts w:hint="default"/>
          <w:sz w:val="20"/>
          <w:szCs w:val="20"/>
          <w:lang w:val="fr-FR"/>
        </w:rPr>
      </w:pPr>
      <w:r>
        <w:rPr>
          <w:rFonts w:hint="default"/>
          <w:sz w:val="20"/>
          <w:szCs w:val="20"/>
          <w:lang w:val="fr-FR"/>
        </w:rPr>
        <w:t>Attentes à l’égard de la formation:</w:t>
      </w:r>
    </w:p>
    <w:p w14:paraId="15DC798E">
      <w:pPr>
        <w:numPr>
          <w:ilvl w:val="0"/>
          <w:numId w:val="10"/>
        </w:numPr>
        <w:ind w:left="840" w:leftChars="0" w:hanging="420" w:firstLineChars="0"/>
        <w:rPr>
          <w:rFonts w:hint="default"/>
          <w:sz w:val="20"/>
          <w:szCs w:val="20"/>
          <w:lang w:val="fr-FR"/>
        </w:rPr>
      </w:pPr>
      <w:r>
        <w:rPr>
          <w:rFonts w:hint="default"/>
          <w:sz w:val="20"/>
          <w:szCs w:val="20"/>
          <w:lang w:val="fr-FR"/>
        </w:rPr>
        <w:t>Entretenir, suivre et développer les relations école/partenaires/alumnis avec les bons outils et procédures;</w:t>
      </w:r>
    </w:p>
    <w:p w14:paraId="72E78066">
      <w:pPr>
        <w:numPr>
          <w:ilvl w:val="0"/>
          <w:numId w:val="10"/>
        </w:numPr>
        <w:ind w:left="840" w:leftChars="0" w:hanging="420" w:firstLineChars="0"/>
        <w:rPr>
          <w:rFonts w:hint="default"/>
          <w:sz w:val="20"/>
          <w:szCs w:val="20"/>
          <w:lang w:val="fr-FR"/>
        </w:rPr>
      </w:pPr>
      <w:r>
        <w:rPr>
          <w:rFonts w:hint="default"/>
          <w:sz w:val="20"/>
          <w:szCs w:val="20"/>
          <w:lang w:val="fr-FR"/>
        </w:rPr>
        <w:t xml:space="preserve">Professionnaliser la démarche de prospection de nouveaux partenaires;  </w:t>
      </w:r>
    </w:p>
    <w:p w14:paraId="28C4050D">
      <w:pPr>
        <w:numPr>
          <w:ilvl w:val="0"/>
          <w:numId w:val="10"/>
        </w:numPr>
        <w:ind w:left="840" w:leftChars="0" w:hanging="420" w:firstLineChars="0"/>
        <w:rPr>
          <w:rFonts w:hint="default"/>
          <w:sz w:val="20"/>
          <w:szCs w:val="20"/>
          <w:lang w:val="fr-FR"/>
        </w:rPr>
      </w:pPr>
      <w:r>
        <w:rPr>
          <w:rFonts w:hint="default"/>
          <w:sz w:val="20"/>
          <w:szCs w:val="20"/>
          <w:lang w:val="fr-FR"/>
        </w:rPr>
        <w:t>Rendre l’école visible dans un environnement concurrentiel;</w:t>
      </w:r>
    </w:p>
    <w:p w14:paraId="5A6A3667">
      <w:pPr>
        <w:numPr>
          <w:ilvl w:val="0"/>
          <w:numId w:val="10"/>
        </w:numPr>
        <w:ind w:left="840" w:leftChars="0" w:hanging="420" w:firstLineChars="0"/>
        <w:rPr>
          <w:rFonts w:hint="default"/>
          <w:sz w:val="20"/>
          <w:szCs w:val="20"/>
          <w:lang w:val="fr-FR"/>
        </w:rPr>
      </w:pPr>
      <w:r>
        <w:rPr>
          <w:rFonts w:hint="default"/>
          <w:sz w:val="20"/>
          <w:szCs w:val="20"/>
          <w:lang w:val="fr-FR"/>
        </w:rPr>
        <w:t>Être plus efficace dans la collecte de la taxe d’apprentissage.</w:t>
      </w:r>
    </w:p>
    <w:bookmarkEnd w:id="5"/>
    <w:p w14:paraId="5FE6C45F">
      <w:pPr>
        <w:pStyle w:val="3"/>
        <w:numPr>
          <w:ilvl w:val="0"/>
          <w:numId w:val="8"/>
        </w:numPr>
        <w:ind w:left="425" w:leftChars="0" w:hanging="425" w:firstLineChars="0"/>
        <w:rPr>
          <w:sz w:val="20"/>
          <w:szCs w:val="20"/>
        </w:rPr>
      </w:pPr>
      <w:r>
        <w:rPr>
          <w:sz w:val="20"/>
          <w:szCs w:val="20"/>
        </w:rPr>
        <w:t>Modalités pratiques d’organisation</w:t>
      </w:r>
      <w:r>
        <w:rPr>
          <w:rFonts w:ascii="Calibri" w:hAnsi="Calibri" w:cs="Calibri"/>
          <w:sz w:val="20"/>
          <w:szCs w:val="20"/>
        </w:rPr>
        <w:t> </w:t>
      </w:r>
      <w:r>
        <w:rPr>
          <w:sz w:val="20"/>
          <w:szCs w:val="20"/>
        </w:rPr>
        <w:t>:</w:t>
      </w:r>
    </w:p>
    <w:p w14:paraId="0E218649">
      <w:pPr>
        <w:rPr>
          <w:sz w:val="20"/>
          <w:szCs w:val="20"/>
        </w:rPr>
      </w:pPr>
      <w:r>
        <w:rPr>
          <w:sz w:val="20"/>
          <w:szCs w:val="20"/>
        </w:rPr>
        <w:t>Durée prévisionnelle et volumétrie souhaitée</w:t>
      </w:r>
      <w:r>
        <w:rPr>
          <w:rFonts w:ascii="Calibri" w:hAnsi="Calibri" w:cs="Calibri"/>
          <w:sz w:val="20"/>
          <w:szCs w:val="20"/>
        </w:rPr>
        <w:t> </w:t>
      </w:r>
      <w:r>
        <w:rPr>
          <w:sz w:val="20"/>
          <w:szCs w:val="20"/>
        </w:rPr>
        <w:t>:</w:t>
      </w:r>
    </w:p>
    <w:p w14:paraId="3AFE9EF2">
      <w:pPr>
        <w:ind w:left="-284" w:firstLine="284"/>
        <w:rPr>
          <w:bCs/>
          <w:sz w:val="20"/>
          <w:highlight w:val="none"/>
        </w:rPr>
      </w:pPr>
      <w:r>
        <w:rPr>
          <w:b/>
          <w:bCs w:val="0"/>
          <w:sz w:val="20"/>
          <w:highlight w:val="none"/>
        </w:rPr>
        <w:t>Durée</w:t>
      </w:r>
      <w:r>
        <w:rPr>
          <w:rFonts w:hint="default"/>
          <w:b/>
          <w:bCs w:val="0"/>
          <w:sz w:val="20"/>
          <w:highlight w:val="none"/>
          <w:lang w:val="fr-FR"/>
        </w:rPr>
        <w:t xml:space="preserve"> totale : 2 </w:t>
      </w:r>
      <w:r>
        <w:rPr>
          <w:b/>
          <w:bCs w:val="0"/>
          <w:sz w:val="20"/>
          <w:highlight w:val="none"/>
        </w:rPr>
        <w:t>jour</w:t>
      </w:r>
      <w:r>
        <w:rPr>
          <w:rFonts w:hint="default"/>
          <w:b/>
          <w:bCs w:val="0"/>
          <w:sz w:val="20"/>
          <w:highlight w:val="none"/>
          <w:lang w:val="fr-FR"/>
        </w:rPr>
        <w:t>s</w:t>
      </w:r>
      <w:r>
        <w:rPr>
          <w:b/>
          <w:bCs w:val="0"/>
          <w:sz w:val="20"/>
          <w:highlight w:val="none"/>
        </w:rPr>
        <w:t xml:space="preserve"> </w:t>
      </w:r>
    </w:p>
    <w:p w14:paraId="2E822DEB">
      <w:pPr>
        <w:rPr>
          <w:rFonts w:hint="default"/>
          <w:b/>
          <w:bCs/>
          <w:iCs/>
          <w:sz w:val="20"/>
          <w:szCs w:val="20"/>
          <w:highlight w:val="none"/>
          <w:lang w:val="fr-FR"/>
        </w:rPr>
      </w:pPr>
      <w:sdt>
        <w:sdtPr>
          <w:rPr>
            <w:sz w:val="20"/>
            <w:szCs w:val="20"/>
            <w:highlight w:val="none"/>
          </w:rPr>
          <w:id w:val="147455595"/>
          <w14:checkbox>
            <w14:checked w14:val="1"/>
            <w14:checkedState w14:val="2612" w14:font="MS Gothic"/>
            <w14:uncheckedState w14:val="2610" w14:font="MS Gothic"/>
          </w14:checkbox>
        </w:sdtPr>
        <w:sdtEndPr>
          <w:rPr>
            <w:sz w:val="20"/>
            <w:szCs w:val="20"/>
            <w:highlight w:val="none"/>
          </w:rPr>
        </w:sdtEndPr>
        <w:sdtContent>
          <w:r>
            <w:rPr>
              <w:rFonts w:hint="eastAsia" w:ascii="MS Gothic" w:hAnsi="MS Gothic" w:eastAsia="MS Gothic"/>
              <w:sz w:val="20"/>
              <w:szCs w:val="20"/>
              <w:highlight w:val="none"/>
            </w:rPr>
            <w:t>☒</w:t>
          </w:r>
        </w:sdtContent>
      </w:sdt>
      <w:r>
        <w:rPr>
          <w:iCs/>
          <w:sz w:val="20"/>
          <w:szCs w:val="20"/>
          <w:highlight w:val="none"/>
        </w:rPr>
        <w:t xml:space="preserve"> </w:t>
      </w:r>
      <w:r>
        <w:rPr>
          <w:rFonts w:hint="default"/>
          <w:iCs/>
          <w:sz w:val="20"/>
          <w:szCs w:val="20"/>
          <w:highlight w:val="none"/>
          <w:lang w:val="fr-FR"/>
        </w:rPr>
        <w:t>e</w:t>
      </w:r>
      <w:r>
        <w:rPr>
          <w:b/>
          <w:bCs/>
          <w:iCs/>
          <w:sz w:val="20"/>
          <w:szCs w:val="20"/>
          <w:highlight w:val="none"/>
        </w:rPr>
        <w:t>n in</w:t>
      </w:r>
      <w:r>
        <w:rPr>
          <w:rFonts w:hint="default"/>
          <w:b/>
          <w:bCs/>
          <w:iCs/>
          <w:sz w:val="20"/>
          <w:szCs w:val="20"/>
          <w:highlight w:val="none"/>
          <w:lang w:val="fr-FR"/>
        </w:rPr>
        <w:t>te</w:t>
      </w:r>
      <w:r>
        <w:rPr>
          <w:b/>
          <w:bCs/>
          <w:iCs/>
          <w:sz w:val="20"/>
          <w:szCs w:val="20"/>
          <w:highlight w:val="none"/>
        </w:rPr>
        <w:t>r-entreprise</w:t>
      </w:r>
      <w:r>
        <w:rPr>
          <w:rFonts w:hint="default"/>
          <w:b/>
          <w:bCs/>
          <w:iCs/>
          <w:sz w:val="20"/>
          <w:szCs w:val="20"/>
          <w:highlight w:val="none"/>
          <w:lang w:val="fr-FR"/>
        </w:rPr>
        <w:t xml:space="preserve"> </w:t>
      </w:r>
    </w:p>
    <w:p w14:paraId="6EF8BEF4">
      <w:pPr>
        <w:rPr>
          <w:b/>
          <w:bCs/>
          <w:iCs/>
          <w:sz w:val="20"/>
          <w:szCs w:val="20"/>
          <w:highlight w:val="none"/>
        </w:rPr>
      </w:pPr>
      <w:sdt>
        <w:sdtPr>
          <w:rPr>
            <w:sz w:val="20"/>
            <w:szCs w:val="20"/>
            <w:highlight w:val="none"/>
          </w:rPr>
          <w:id w:val="-145906838"/>
          <w14:checkbox>
            <w14:checked w14:val="1"/>
            <w14:checkedState w14:val="2612" w14:font="MS Gothic"/>
            <w14:uncheckedState w14:val="2610" w14:font="MS Gothic"/>
          </w14:checkbox>
        </w:sdtPr>
        <w:sdtEndPr>
          <w:rPr>
            <w:sz w:val="20"/>
            <w:szCs w:val="20"/>
            <w:highlight w:val="none"/>
          </w:rPr>
        </w:sdtEndPr>
        <w:sdtContent>
          <w:r>
            <w:rPr>
              <w:rFonts w:hint="eastAsia" w:ascii="MS Gothic" w:hAnsi="MS Gothic" w:eastAsia="MS Gothic"/>
              <w:sz w:val="20"/>
              <w:szCs w:val="20"/>
              <w:highlight w:val="none"/>
            </w:rPr>
            <w:t>☒</w:t>
          </w:r>
        </w:sdtContent>
      </w:sdt>
      <w:r>
        <w:rPr>
          <w:iCs/>
          <w:sz w:val="20"/>
          <w:szCs w:val="20"/>
          <w:highlight w:val="none"/>
        </w:rPr>
        <w:t xml:space="preserve"> </w:t>
      </w:r>
      <w:r>
        <w:rPr>
          <w:b/>
          <w:bCs/>
          <w:iCs/>
          <w:sz w:val="20"/>
          <w:szCs w:val="20"/>
          <w:highlight w:val="none"/>
        </w:rPr>
        <w:t>En présentiel</w:t>
      </w:r>
    </w:p>
    <w:p w14:paraId="32CAF0F8">
      <w:pPr>
        <w:rPr>
          <w:b/>
          <w:bCs/>
          <w:color w:val="3891AF" w:themeColor="accent5" w:themeShade="BF"/>
          <w:sz w:val="20"/>
          <w:szCs w:val="20"/>
        </w:rPr>
      </w:pPr>
      <w:r>
        <w:rPr>
          <w:b/>
          <w:bCs/>
          <w:color w:val="3891AF" w:themeColor="accent5" w:themeShade="BF"/>
          <w:sz w:val="20"/>
          <w:szCs w:val="20"/>
        </w:rPr>
        <w:t>Lieu</w:t>
      </w:r>
      <w:r>
        <w:rPr>
          <w:rFonts w:hint="default"/>
          <w:b/>
          <w:bCs/>
          <w:color w:val="3891AF" w:themeColor="accent5" w:themeShade="BF"/>
          <w:sz w:val="20"/>
          <w:szCs w:val="20"/>
          <w:lang w:val="fr-FR"/>
        </w:rPr>
        <w:t>x</w:t>
      </w:r>
      <w:r>
        <w:rPr>
          <w:b/>
          <w:bCs/>
          <w:color w:val="3891AF" w:themeColor="accent5" w:themeShade="BF"/>
          <w:sz w:val="20"/>
          <w:szCs w:val="20"/>
        </w:rPr>
        <w:t xml:space="preserve"> (en présentiel)</w:t>
      </w:r>
      <w:r>
        <w:rPr>
          <w:rFonts w:ascii="Calibri" w:hAnsi="Calibri" w:cs="Calibri"/>
          <w:b/>
          <w:bCs/>
          <w:color w:val="3891AF" w:themeColor="accent5" w:themeShade="BF"/>
          <w:sz w:val="20"/>
          <w:szCs w:val="20"/>
        </w:rPr>
        <w:t> </w:t>
      </w:r>
      <w:r>
        <w:rPr>
          <w:b/>
          <w:bCs/>
          <w:color w:val="3891AF" w:themeColor="accent5" w:themeShade="BF"/>
          <w:sz w:val="20"/>
          <w:szCs w:val="20"/>
        </w:rPr>
        <w:t xml:space="preserve">: </w:t>
      </w:r>
    </w:p>
    <w:p w14:paraId="7A144756">
      <w:pPr>
        <w:rPr>
          <w:rFonts w:hint="default"/>
          <w:b w:val="0"/>
          <w:bCs w:val="0"/>
          <w:iCs/>
          <w:sz w:val="20"/>
          <w:szCs w:val="20"/>
          <w:highlight w:val="none"/>
          <w:lang w:val="fr-FR"/>
        </w:rPr>
      </w:pPr>
      <w:r>
        <w:rPr>
          <w:rFonts w:hint="default"/>
          <w:b w:val="0"/>
          <w:bCs w:val="0"/>
          <w:iCs/>
          <w:sz w:val="20"/>
          <w:szCs w:val="20"/>
          <w:highlight w:val="none"/>
          <w:lang w:val="fr-FR"/>
        </w:rPr>
        <w:t>La formation aura lieu:</w:t>
      </w:r>
    </w:p>
    <w:p w14:paraId="4643A874">
      <w:pPr>
        <w:rPr>
          <w:rFonts w:hint="default"/>
          <w:b/>
          <w:bCs/>
          <w:iCs/>
          <w:sz w:val="20"/>
          <w:szCs w:val="20"/>
          <w:highlight w:val="none"/>
          <w:lang w:val="fr-FR"/>
        </w:rPr>
      </w:pPr>
      <w:r>
        <w:rPr>
          <w:rFonts w:hint="default"/>
          <w:b/>
          <w:bCs/>
          <w:iCs/>
          <w:sz w:val="20"/>
          <w:szCs w:val="20"/>
          <w:highlight w:val="none"/>
          <w:lang w:val="fr-FR"/>
        </w:rPr>
        <w:t>Au sein du centre de formation indiqué par l’attributaire dans son mémoire technique.</w:t>
      </w:r>
    </w:p>
    <w:p w14:paraId="747E78E2">
      <w:pPr>
        <w:rPr>
          <w:rFonts w:hint="default"/>
          <w:b w:val="0"/>
          <w:bCs w:val="0"/>
          <w:iCs/>
          <w:sz w:val="20"/>
          <w:szCs w:val="20"/>
          <w:highlight w:val="none"/>
          <w:lang w:val="fr-FR"/>
        </w:rPr>
      </w:pPr>
      <w:r>
        <w:rPr>
          <w:rFonts w:hint="default"/>
          <w:b w:val="0"/>
          <w:bCs w:val="0"/>
          <w:iCs/>
          <w:sz w:val="20"/>
          <w:szCs w:val="20"/>
          <w:highlight w:val="none"/>
          <w:lang w:val="fr-FR"/>
        </w:rPr>
        <w:t xml:space="preserve">Période souhaitée: </w:t>
      </w:r>
    </w:p>
    <w:p w14:paraId="13DE88D2">
      <w:pPr>
        <w:rPr>
          <w:rFonts w:hint="default"/>
          <w:b/>
          <w:bCs/>
          <w:iCs/>
          <w:sz w:val="20"/>
          <w:szCs w:val="20"/>
          <w:highlight w:val="none"/>
          <w:lang w:val="fr-FR"/>
        </w:rPr>
      </w:pPr>
      <w:sdt>
        <w:sdtPr>
          <w:rPr>
            <w:sz w:val="20"/>
            <w:szCs w:val="20"/>
            <w:highlight w:val="none"/>
          </w:rPr>
          <w:id w:val="147463524"/>
          <w14:checkbox>
            <w14:checked w14:val="1"/>
            <w14:checkedState w14:val="2612" w14:font="MS Gothic"/>
            <w14:uncheckedState w14:val="2610" w14:font="MS Gothic"/>
          </w14:checkbox>
        </w:sdtPr>
        <w:sdtEndPr>
          <w:rPr>
            <w:b/>
            <w:bCs/>
            <w:sz w:val="20"/>
            <w:szCs w:val="20"/>
            <w:highlight w:val="none"/>
          </w:rPr>
        </w:sdtEndPr>
        <w:sdtContent>
          <w:r>
            <w:rPr>
              <w:rFonts w:hint="eastAsia" w:ascii="MS Gothic" w:hAnsi="MS Gothic" w:eastAsia="MS Gothic" w:cstheme="minorBidi"/>
              <w:b/>
              <w:bCs/>
              <w:color w:val="000000" w:themeColor="text1"/>
              <w:sz w:val="20"/>
              <w:szCs w:val="20"/>
              <w:highlight w:val="none"/>
              <w:lang w:val="fr-FR" w:eastAsia="en-US" w:bidi="ar-SA"/>
              <w14:textFill>
                <w14:solidFill>
                  <w14:schemeClr w14:val="tx1"/>
                </w14:solidFill>
              </w14:textFill>
            </w:rPr>
            <w:t>☒</w:t>
          </w:r>
        </w:sdtContent>
      </w:sdt>
      <w:r>
        <w:rPr>
          <w:rFonts w:hint="default"/>
          <w:b/>
          <w:bCs/>
          <w:sz w:val="20"/>
          <w:szCs w:val="20"/>
          <w:highlight w:val="none"/>
          <w:lang w:val="fr-FR"/>
        </w:rPr>
        <w:t xml:space="preserve"> </w:t>
      </w:r>
      <w:r>
        <w:rPr>
          <w:rFonts w:hint="default"/>
          <w:b/>
          <w:bCs/>
          <w:iCs/>
          <w:sz w:val="20"/>
          <w:szCs w:val="20"/>
          <w:highlight w:val="none"/>
          <w:lang w:val="fr-FR"/>
        </w:rPr>
        <w:t>Dès que possible</w:t>
      </w:r>
    </w:p>
    <w:p w14:paraId="0233197B">
      <w:pPr>
        <w:rPr>
          <w:sz w:val="20"/>
          <w:szCs w:val="20"/>
        </w:rPr>
      </w:pPr>
      <w:r>
        <w:rPr>
          <w:sz w:val="20"/>
          <w:szCs w:val="20"/>
        </w:rPr>
        <w:t>M</w:t>
      </w:r>
      <w:r>
        <w:rPr>
          <w:rFonts w:hint="default"/>
          <w:sz w:val="20"/>
          <w:szCs w:val="20"/>
          <w:lang w:val="fr-FR"/>
        </w:rPr>
        <w:t xml:space="preserve">éthodes </w:t>
      </w:r>
      <w:r>
        <w:rPr>
          <w:sz w:val="20"/>
          <w:szCs w:val="20"/>
        </w:rPr>
        <w:t xml:space="preserve">pédagogiques </w:t>
      </w:r>
      <w:r>
        <w:rPr>
          <w:rFonts w:hint="default"/>
          <w:sz w:val="20"/>
          <w:szCs w:val="20"/>
          <w:lang w:val="fr-FR"/>
        </w:rPr>
        <w:t>attendues</w:t>
      </w:r>
      <w:r>
        <w:rPr>
          <w:sz w:val="20"/>
          <w:szCs w:val="20"/>
        </w:rPr>
        <w:t xml:space="preserve"> :</w:t>
      </w:r>
    </w:p>
    <w:p w14:paraId="18047BB5">
      <w:pPr>
        <w:numPr>
          <w:ilvl w:val="0"/>
          <w:numId w:val="11"/>
        </w:numPr>
        <w:ind w:left="840" w:leftChars="0" w:hanging="420" w:firstLineChars="0"/>
        <w:rPr>
          <w:rFonts w:hint="default"/>
          <w:b w:val="0"/>
          <w:bCs w:val="0"/>
          <w:iCs/>
          <w:sz w:val="20"/>
          <w:szCs w:val="20"/>
          <w:highlight w:val="none"/>
          <w:lang w:val="fr-FR"/>
        </w:rPr>
      </w:pPr>
      <w:r>
        <w:rPr>
          <w:rFonts w:hint="default"/>
          <w:b w:val="0"/>
          <w:bCs w:val="0"/>
          <w:iCs/>
          <w:sz w:val="20"/>
          <w:szCs w:val="20"/>
          <w:highlight w:val="none"/>
          <w:lang w:val="fr-FR"/>
        </w:rPr>
        <w:t>Apports théoriques</w:t>
      </w:r>
    </w:p>
    <w:p w14:paraId="2F524A0E">
      <w:pPr>
        <w:numPr>
          <w:ilvl w:val="0"/>
          <w:numId w:val="11"/>
        </w:numPr>
        <w:ind w:left="840" w:leftChars="0" w:hanging="420" w:firstLineChars="0"/>
        <w:rPr>
          <w:rFonts w:hint="default"/>
          <w:b w:val="0"/>
          <w:bCs w:val="0"/>
          <w:iCs/>
          <w:sz w:val="20"/>
          <w:szCs w:val="20"/>
          <w:highlight w:val="none"/>
          <w:lang w:val="fr-FR"/>
        </w:rPr>
      </w:pPr>
      <w:r>
        <w:rPr>
          <w:rFonts w:hint="default"/>
          <w:b w:val="0"/>
          <w:bCs w:val="0"/>
          <w:iCs/>
          <w:sz w:val="20"/>
          <w:szCs w:val="20"/>
          <w:highlight w:val="none"/>
          <w:lang w:val="fr-FR"/>
        </w:rPr>
        <w:t>Exemples de cas</w:t>
      </w:r>
    </w:p>
    <w:p w14:paraId="338AE770">
      <w:pPr>
        <w:numPr>
          <w:ilvl w:val="0"/>
          <w:numId w:val="11"/>
        </w:numPr>
        <w:ind w:left="840" w:leftChars="0" w:hanging="420" w:firstLineChars="0"/>
        <w:rPr>
          <w:rFonts w:hint="default"/>
          <w:b w:val="0"/>
          <w:bCs w:val="0"/>
          <w:iCs/>
          <w:sz w:val="20"/>
          <w:szCs w:val="20"/>
          <w:highlight w:val="none"/>
          <w:lang w:val="fr-FR"/>
        </w:rPr>
      </w:pPr>
      <w:r>
        <w:rPr>
          <w:rFonts w:hint="default"/>
          <w:b w:val="0"/>
          <w:bCs w:val="0"/>
          <w:iCs/>
          <w:sz w:val="20"/>
          <w:szCs w:val="20"/>
          <w:highlight w:val="none"/>
          <w:lang w:val="fr-FR"/>
        </w:rPr>
        <w:t>Echanges entre participants et formateur</w:t>
      </w:r>
    </w:p>
    <w:p w14:paraId="6FC83722">
      <w:pPr>
        <w:numPr>
          <w:ilvl w:val="0"/>
          <w:numId w:val="11"/>
        </w:numPr>
        <w:ind w:left="840" w:leftChars="0" w:hanging="420" w:firstLineChars="0"/>
        <w:rPr>
          <w:rFonts w:hint="default"/>
          <w:b w:val="0"/>
          <w:bCs w:val="0"/>
          <w:iCs/>
          <w:sz w:val="20"/>
          <w:szCs w:val="20"/>
          <w:highlight w:val="none"/>
          <w:lang w:val="fr-FR"/>
        </w:rPr>
      </w:pPr>
      <w:r>
        <w:rPr>
          <w:rFonts w:hint="default"/>
          <w:b w:val="0"/>
          <w:bCs w:val="0"/>
          <w:iCs/>
          <w:sz w:val="20"/>
          <w:szCs w:val="20"/>
          <w:highlight w:val="none"/>
          <w:lang w:val="fr-FR"/>
        </w:rPr>
        <w:t xml:space="preserve">Supports pédagogiques remis à l’agent </w:t>
      </w:r>
    </w:p>
    <w:p w14:paraId="7615D7E2">
      <w:pPr>
        <w:pStyle w:val="3"/>
        <w:numPr>
          <w:ilvl w:val="0"/>
          <w:numId w:val="8"/>
        </w:numPr>
        <w:ind w:left="425" w:leftChars="0" w:hanging="425" w:firstLineChars="0"/>
        <w:rPr>
          <w:sz w:val="20"/>
          <w:szCs w:val="20"/>
        </w:rPr>
      </w:pPr>
      <w:r>
        <w:rPr>
          <w:rFonts w:hint="default"/>
          <w:sz w:val="20"/>
          <w:szCs w:val="20"/>
          <w:lang w:val="fr-FR"/>
        </w:rPr>
        <w:t>Contenu attendu</w:t>
      </w:r>
    </w:p>
    <w:p w14:paraId="26071368">
      <w:pPr>
        <w:spacing w:before="0" w:after="160" w:line="259" w:lineRule="auto"/>
        <w:jc w:val="left"/>
        <w:rPr>
          <w:rFonts w:hint="default" w:ascii="Calibri" w:hAnsi="Calibri" w:eastAsia="Calibri" w:cs="Times New Roman"/>
          <w:b/>
          <w:bCs/>
          <w:szCs w:val="22"/>
          <w:lang w:val="fr-FR" w:eastAsia="en-US"/>
        </w:rPr>
      </w:pPr>
      <w:r>
        <w:rPr>
          <w:rFonts w:hint="default" w:ascii="Calibri" w:hAnsi="Calibri" w:eastAsia="Calibri" w:cs="Times New Roman"/>
          <w:b/>
          <w:bCs/>
          <w:szCs w:val="22"/>
          <w:lang w:val="fr-FR" w:eastAsia="en-US"/>
        </w:rPr>
        <w:t>Livrables attendus:</w:t>
      </w:r>
    </w:p>
    <w:p w14:paraId="7CCEA16A">
      <w:pPr>
        <w:spacing w:before="0" w:after="160" w:line="259" w:lineRule="auto"/>
        <w:jc w:val="left"/>
        <w:rPr>
          <w:rFonts w:ascii="Calibri" w:hAnsi="Calibri" w:eastAsia="Calibri" w:cs="Times New Roman"/>
          <w:szCs w:val="22"/>
        </w:rPr>
      </w:pPr>
      <w:r>
        <w:rPr>
          <w:rFonts w:ascii="Calibri" w:hAnsi="Calibri" w:eastAsia="Calibri" w:cs="Times New Roman"/>
          <w:szCs w:val="22"/>
        </w:rPr>
        <w:t>Le titulaire devra fournir, pour chaque stagiaire :</w:t>
      </w:r>
    </w:p>
    <w:p w14:paraId="1E1348C9">
      <w:pPr>
        <w:numPr>
          <w:ilvl w:val="0"/>
          <w:numId w:val="12"/>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Un support de formation complet (format numérique)</w:t>
      </w:r>
      <w:r>
        <w:rPr>
          <w:rFonts w:hint="default" w:ascii="Calibri" w:hAnsi="Calibri" w:eastAsia="Calibri" w:cs="Times New Roman"/>
          <w:sz w:val="22"/>
          <w:szCs w:val="22"/>
          <w:lang w:val="fr-FR" w:eastAsia="en-US" w:bidi="ar-SA"/>
        </w:rPr>
        <w:t>,</w:t>
      </w:r>
    </w:p>
    <w:p w14:paraId="67565E19">
      <w:pPr>
        <w:numPr>
          <w:ilvl w:val="0"/>
          <w:numId w:val="12"/>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Une attestation de formation</w:t>
      </w:r>
      <w:r>
        <w:rPr>
          <w:rFonts w:hint="default" w:ascii="Calibri" w:hAnsi="Calibri" w:eastAsia="Calibri" w:cs="Times New Roman"/>
          <w:sz w:val="22"/>
          <w:szCs w:val="22"/>
          <w:lang w:val="fr-FR" w:eastAsia="en-US" w:bidi="ar-SA"/>
        </w:rPr>
        <w:t>,</w:t>
      </w:r>
    </w:p>
    <w:p w14:paraId="70289C2A">
      <w:pPr>
        <w:numPr>
          <w:ilvl w:val="0"/>
          <w:numId w:val="12"/>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Une évaluation de satisfaction</w:t>
      </w:r>
      <w:r>
        <w:rPr>
          <w:rFonts w:hint="default" w:ascii="Calibri" w:hAnsi="Calibri" w:eastAsia="Calibri" w:cs="Times New Roman"/>
          <w:sz w:val="22"/>
          <w:szCs w:val="22"/>
          <w:lang w:val="fr-FR" w:eastAsia="en-US" w:bidi="ar-SA"/>
        </w:rPr>
        <w:t>.</w:t>
      </w:r>
    </w:p>
    <w:p w14:paraId="677ED462">
      <w:pPr>
        <w:spacing w:before="0" w:after="160" w:line="259" w:lineRule="auto"/>
        <w:jc w:val="left"/>
        <w:rPr>
          <w:rFonts w:ascii="Calibri" w:hAnsi="Calibri" w:eastAsia="Calibri" w:cs="Times New Roman"/>
          <w:b/>
          <w:bCs/>
          <w:szCs w:val="22"/>
        </w:rPr>
      </w:pPr>
    </w:p>
    <w:p w14:paraId="604F6D33">
      <w:pPr>
        <w:spacing w:before="0" w:after="160" w:line="259" w:lineRule="auto"/>
        <w:jc w:val="left"/>
        <w:rPr>
          <w:rFonts w:ascii="Calibri" w:hAnsi="Calibri" w:eastAsia="Calibri" w:cs="Times New Roman"/>
          <w:b/>
          <w:bCs/>
          <w:szCs w:val="22"/>
        </w:rPr>
      </w:pPr>
      <w:r>
        <w:rPr>
          <w:rFonts w:ascii="Calibri" w:hAnsi="Calibri" w:eastAsia="Calibri" w:cs="Times New Roman"/>
          <w:b/>
          <w:bCs/>
          <w:szCs w:val="22"/>
        </w:rPr>
        <w:t>Exigences relatives au formateur</w:t>
      </w:r>
    </w:p>
    <w:p w14:paraId="38263C7D">
      <w:pPr>
        <w:numPr>
          <w:ilvl w:val="0"/>
          <w:numId w:val="0"/>
        </w:numPr>
        <w:spacing w:after="160" w:line="259" w:lineRule="auto"/>
        <w:contextualSpacing/>
        <w:rPr>
          <w:rFonts w:hint="default" w:ascii="Calibri" w:hAnsi="Calibri" w:eastAsia="Calibri" w:cs="Times New Roman"/>
          <w:sz w:val="22"/>
          <w:szCs w:val="22"/>
          <w:lang w:val="fr-FR" w:eastAsia="en-US" w:bidi="ar-SA"/>
        </w:rPr>
      </w:pPr>
      <w:r>
        <w:rPr>
          <w:rFonts w:hint="default" w:ascii="Calibri" w:hAnsi="Calibri" w:eastAsia="Calibri" w:cs="Times New Roman"/>
          <w:sz w:val="22"/>
          <w:szCs w:val="22"/>
          <w:lang w:val="fr-FR" w:eastAsia="en-US" w:bidi="ar-SA"/>
        </w:rPr>
        <w:t>Il proposera un programme détaillé, structuré.</w:t>
      </w:r>
    </w:p>
    <w:p w14:paraId="48F15744">
      <w:pPr>
        <w:numPr>
          <w:ilvl w:val="0"/>
          <w:numId w:val="0"/>
        </w:numPr>
        <w:spacing w:after="160" w:line="259" w:lineRule="auto"/>
        <w:contextualSpacing/>
        <w:rPr>
          <w:rFonts w:hint="default" w:ascii="Calibri" w:hAnsi="Calibri" w:eastAsia="Calibri" w:cs="Times New Roman"/>
          <w:sz w:val="22"/>
          <w:szCs w:val="22"/>
          <w:lang w:val="fr-FR" w:eastAsia="en-US" w:bidi="ar-SA"/>
        </w:rPr>
      </w:pPr>
    </w:p>
    <w:p w14:paraId="331A1DE8">
      <w:pPr>
        <w:numPr>
          <w:ilvl w:val="0"/>
          <w:numId w:val="0"/>
        </w:numPr>
        <w:spacing w:after="160" w:line="259" w:lineRule="auto"/>
        <w:contextualSpacing/>
        <w:rPr>
          <w:rFonts w:hint="default" w:ascii="Calibri" w:hAnsi="Calibri" w:eastAsia="Calibri" w:cs="Times New Roman"/>
          <w:sz w:val="22"/>
          <w:szCs w:val="22"/>
          <w:lang w:val="fr-FR" w:eastAsia="en-US" w:bidi="ar-SA"/>
        </w:rPr>
      </w:pPr>
      <w:r>
        <w:rPr>
          <w:rFonts w:hint="default" w:ascii="Calibri" w:hAnsi="Calibri" w:eastAsia="Calibri" w:cs="Times New Roman"/>
          <w:sz w:val="22"/>
          <w:szCs w:val="22"/>
          <w:lang w:val="fr-FR" w:eastAsia="en-US" w:bidi="ar-SA"/>
        </w:rPr>
        <w:t>Les supports seront remis en version numérique.</w:t>
      </w:r>
    </w:p>
    <w:p w14:paraId="40530918">
      <w:pPr>
        <w:numPr>
          <w:ilvl w:val="0"/>
          <w:numId w:val="0"/>
        </w:numPr>
        <w:spacing w:after="160" w:line="259" w:lineRule="auto"/>
        <w:contextualSpacing/>
        <w:rPr>
          <w:rFonts w:hint="default" w:ascii="Calibri" w:hAnsi="Calibri" w:eastAsia="Calibri" w:cs="Times New Roman"/>
          <w:sz w:val="22"/>
          <w:szCs w:val="22"/>
          <w:lang w:val="fr-FR" w:eastAsia="en-US" w:bidi="ar-SA"/>
        </w:rPr>
      </w:pPr>
    </w:p>
    <w:p w14:paraId="5D585392">
      <w:pPr>
        <w:numPr>
          <w:ilvl w:val="0"/>
          <w:numId w:val="0"/>
        </w:numPr>
        <w:spacing w:after="160" w:line="259" w:lineRule="auto"/>
        <w:contextualSpacing/>
        <w:rPr>
          <w:rFonts w:hint="default" w:ascii="Calibri" w:hAnsi="Calibri" w:eastAsia="Calibri" w:cs="Times New Roman"/>
          <w:sz w:val="22"/>
          <w:szCs w:val="22"/>
          <w:lang w:val="fr-FR" w:eastAsia="en-US" w:bidi="ar-SA"/>
        </w:rPr>
      </w:pPr>
      <w:r>
        <w:rPr>
          <w:rFonts w:hint="default" w:ascii="Calibri" w:hAnsi="Calibri" w:eastAsia="Calibri" w:cs="Times New Roman"/>
          <w:sz w:val="22"/>
          <w:szCs w:val="22"/>
          <w:lang w:val="fr-FR" w:eastAsia="en-US" w:bidi="ar-SA"/>
        </w:rPr>
        <w:t>Le calendrier sera défini en accord avec l’établissement.</w:t>
      </w:r>
    </w:p>
    <w:p w14:paraId="7E2DE5CF">
      <w:pPr>
        <w:numPr>
          <w:ilvl w:val="0"/>
          <w:numId w:val="0"/>
        </w:numPr>
        <w:spacing w:after="160" w:line="259" w:lineRule="auto"/>
        <w:contextualSpacing/>
        <w:rPr>
          <w:rFonts w:hint="default" w:ascii="Calibri" w:hAnsi="Calibri" w:eastAsia="Calibri" w:cs="Times New Roman"/>
          <w:sz w:val="22"/>
          <w:szCs w:val="22"/>
          <w:lang w:val="fr-FR" w:eastAsia="en-US" w:bidi="ar-SA"/>
        </w:rPr>
      </w:pPr>
    </w:p>
    <w:p w14:paraId="32742F88">
      <w:pPr>
        <w:numPr>
          <w:ilvl w:val="0"/>
          <w:numId w:val="0"/>
        </w:numPr>
        <w:spacing w:after="160" w:line="259" w:lineRule="auto"/>
        <w:contextualSpacing/>
        <w:rPr>
          <w:rFonts w:hint="default" w:ascii="Calibri" w:hAnsi="Calibri" w:eastAsia="Calibri" w:cs="Times New Roman"/>
          <w:sz w:val="22"/>
          <w:szCs w:val="22"/>
          <w:lang w:val="fr-FR" w:eastAsia="en-US" w:bidi="ar-SA"/>
        </w:rPr>
      </w:pPr>
      <w:r>
        <w:rPr>
          <w:rStyle w:val="15"/>
          <w:rFonts w:hint="default" w:ascii="Times New Roman" w:hAnsi="Times New Roman" w:eastAsia="SimSun" w:cs="Times New Roman"/>
          <w:b/>
          <w:bCs w:val="0"/>
          <w:color w:val="auto"/>
          <w:sz w:val="20"/>
          <w:szCs w:val="20"/>
          <w:highlight w:val="yellow"/>
          <w:lang w:val="fr-FR" w:eastAsia="en-US"/>
        </w:rPr>
        <w:t>Une réunion de préparation est à prévoir pour ajuster le programme au contexte IGN.</w:t>
      </w:r>
    </w:p>
    <w:p w14:paraId="6FDED4B0">
      <w:pPr>
        <w:pStyle w:val="2"/>
        <w:rPr>
          <w:sz w:val="20"/>
          <w:szCs w:val="20"/>
        </w:rPr>
      </w:pPr>
      <w:r>
        <w:rPr>
          <w:sz w:val="20"/>
          <w:szCs w:val="20"/>
        </w:rPr>
        <w:t xml:space="preserve">DISPOSITIONS ADMINISTRATIVES </w:t>
      </w:r>
    </w:p>
    <w:p w14:paraId="27CD2EB6">
      <w:pPr>
        <w:pStyle w:val="3"/>
        <w:ind w:left="796" w:leftChars="0" w:firstLineChars="0"/>
        <w:rPr>
          <w:sz w:val="20"/>
          <w:szCs w:val="20"/>
        </w:rPr>
      </w:pPr>
      <w:bookmarkStart w:id="6" w:name="_Toc177388441"/>
      <w:r>
        <w:rPr>
          <w:sz w:val="20"/>
          <w:szCs w:val="20"/>
        </w:rPr>
        <w:t>Forme du marché</w:t>
      </w:r>
      <w:bookmarkEnd w:id="6"/>
      <w:bookmarkStart w:id="17" w:name="_GoBack"/>
      <w:bookmarkEnd w:id="17"/>
    </w:p>
    <w:p w14:paraId="0585CCD2">
      <w:pPr>
        <w:rPr>
          <w:rStyle w:val="15"/>
          <w:b/>
          <w:bCs w:val="0"/>
          <w:color w:val="auto"/>
          <w:sz w:val="20"/>
          <w:szCs w:val="20"/>
          <w:highlight w:val="yellow"/>
        </w:rPr>
      </w:pPr>
      <w:sdt>
        <w:sdtPr>
          <w:rPr>
            <w:rStyle w:val="15"/>
            <w:b w:val="0"/>
            <w:bCs/>
            <w:sz w:val="20"/>
            <w:szCs w:val="20"/>
          </w:rPr>
          <w:id w:val="-724601758"/>
          <w14:checkbox>
            <w14:checked w14:val="1"/>
            <w14:checkedState w14:val="2612" w14:font="MS Gothic"/>
            <w14:uncheckedState w14:val="2610" w14:font="MS Gothic"/>
          </w14:checkbox>
        </w:sdtPr>
        <w:sdtEndPr>
          <w:rPr>
            <w:rStyle w:val="15"/>
            <w:b/>
            <w:bCs w:val="0"/>
            <w:color w:val="auto"/>
            <w:sz w:val="20"/>
            <w:szCs w:val="20"/>
            <w:highlight w:val="yellow"/>
          </w:rPr>
        </w:sdtEndPr>
        <w:sdtContent>
          <w:r>
            <w:rPr>
              <w:rFonts w:hint="eastAsia" w:ascii="MS Gothic" w:hAnsi="MS Gothic" w:eastAsia="MS Gothic" w:cstheme="minorBidi"/>
              <w:b/>
              <w:bCs w:val="0"/>
              <w:iCs/>
              <w:color w:val="000000" w:themeColor="text1"/>
              <w:sz w:val="20"/>
              <w:szCs w:val="20"/>
              <w:highlight w:val="none"/>
              <w:lang w:val="fr-FR" w:eastAsia="en-US" w:bidi="ar-SA"/>
              <w14:textFill>
                <w14:solidFill>
                  <w14:schemeClr w14:val="tx1"/>
                </w14:solidFill>
              </w14:textFill>
            </w:rPr>
            <w:t>☒</w:t>
          </w:r>
        </w:sdtContent>
      </w:sdt>
      <w:r>
        <w:rPr>
          <w:rStyle w:val="15"/>
          <w:b/>
          <w:bCs w:val="0"/>
          <w:color w:val="auto"/>
          <w:sz w:val="20"/>
          <w:szCs w:val="20"/>
          <w:highlight w:val="yellow"/>
        </w:rPr>
        <w:t xml:space="preserve"> </w:t>
      </w:r>
      <w:r>
        <w:rPr>
          <w:rStyle w:val="15"/>
          <w:rFonts w:hint="default"/>
          <w:b/>
          <w:bCs w:val="0"/>
          <w:color w:val="auto"/>
          <w:sz w:val="20"/>
          <w:szCs w:val="20"/>
          <w:highlight w:val="yellow"/>
          <w:lang w:val="fr-FR"/>
        </w:rPr>
        <w:t xml:space="preserve">Il s’agit d’un </w:t>
      </w:r>
      <w:r>
        <w:rPr>
          <w:rStyle w:val="15"/>
          <w:b/>
          <w:bCs w:val="0"/>
          <w:color w:val="auto"/>
          <w:sz w:val="20"/>
          <w:szCs w:val="20"/>
          <w:highlight w:val="yellow"/>
        </w:rPr>
        <w:t>marché ordinaire rémunéré par un prix global et forfaitaire.</w:t>
      </w:r>
    </w:p>
    <w:p w14:paraId="790F3973">
      <w:pPr>
        <w:rPr>
          <w:b w:val="0"/>
          <w:bCs/>
          <w:sz w:val="20"/>
          <w:szCs w:val="20"/>
          <w:highlight w:val="none"/>
        </w:rPr>
      </w:pPr>
      <w:sdt>
        <w:sdtPr>
          <w:rPr>
            <w:bCs/>
            <w:sz w:val="20"/>
            <w:szCs w:val="20"/>
            <w:highlight w:val="yellow"/>
          </w:rPr>
          <w:id w:val="-1371226652"/>
          <w14:checkbox>
            <w14:checked w14:val="0"/>
            <w14:checkedState w14:val="2612" w14:font="MS Gothic"/>
            <w14:uncheckedState w14:val="2610" w14:font="MS Gothic"/>
          </w14:checkbox>
        </w:sdtPr>
        <w:sdtEndPr>
          <w:rPr>
            <w:b w:val="0"/>
            <w:bCs/>
            <w:sz w:val="20"/>
            <w:szCs w:val="20"/>
            <w:highlight w:val="none"/>
          </w:rPr>
        </w:sdtEndPr>
        <w:sdtContent>
          <w:r>
            <w:rPr>
              <w:rFonts w:hint="eastAsia" w:ascii="MS Gothic" w:hAnsi="MS Gothic" w:eastAsia="MS Gothic" w:cstheme="minorBidi"/>
              <w:b/>
              <w:bCs w:val="0"/>
              <w:color w:val="000000" w:themeColor="text1"/>
              <w:sz w:val="20"/>
              <w:szCs w:val="20"/>
              <w:highlight w:val="none"/>
              <w:lang w:val="fr-FR" w:eastAsia="en-US" w:bidi="ar-SA"/>
              <w14:textFill>
                <w14:solidFill>
                  <w14:schemeClr w14:val="tx1"/>
                </w14:solidFill>
              </w14:textFill>
            </w:rPr>
            <w:t>☐</w:t>
          </w:r>
        </w:sdtContent>
      </w:sdt>
      <w:r>
        <w:rPr>
          <w:rStyle w:val="15"/>
          <w:b w:val="0"/>
          <w:bCs/>
          <w:sz w:val="20"/>
          <w:szCs w:val="20"/>
          <w:highlight w:val="none"/>
        </w:rPr>
        <w:t>Le marché est passé sous la forme d’un accord-cadre à bons de commande mono-attributaire rémunéré par des prix unitaires</w:t>
      </w:r>
      <w:r>
        <w:rPr>
          <w:b w:val="0"/>
          <w:bCs/>
          <w:sz w:val="20"/>
          <w:szCs w:val="20"/>
          <w:highlight w:val="none"/>
        </w:rPr>
        <w:t>. Les bons de commande sont émis par l’acheteur au fur et à mesure des besoins.</w:t>
      </w:r>
    </w:p>
    <w:p w14:paraId="48296299">
      <w:pPr>
        <w:pStyle w:val="3"/>
        <w:ind w:left="796" w:leftChars="0" w:firstLineChars="0"/>
        <w:rPr>
          <w:sz w:val="20"/>
          <w:szCs w:val="20"/>
        </w:rPr>
      </w:pPr>
      <w:r>
        <w:rPr>
          <w:sz w:val="20"/>
          <w:szCs w:val="20"/>
        </w:rPr>
        <w:t xml:space="preserve">Durée et délais d’exécution </w:t>
      </w:r>
    </w:p>
    <w:p w14:paraId="76B857C1">
      <w:pPr>
        <w:pStyle w:val="4"/>
        <w:ind w:left="567" w:hanging="567"/>
        <w:rPr>
          <w:sz w:val="20"/>
          <w:szCs w:val="20"/>
        </w:rPr>
      </w:pPr>
      <w:r>
        <w:rPr>
          <w:sz w:val="20"/>
          <w:szCs w:val="20"/>
        </w:rPr>
        <w:t>Durée</w:t>
      </w:r>
    </w:p>
    <w:p w14:paraId="6675F86C">
      <w:pPr>
        <w:pStyle w:val="67"/>
        <w:rPr>
          <w:sz w:val="20"/>
          <w:szCs w:val="20"/>
        </w:rPr>
      </w:pPr>
      <w:r>
        <w:rPr>
          <w:sz w:val="20"/>
          <w:szCs w:val="20"/>
        </w:rPr>
        <w:t>Le présent marché est :</w:t>
      </w:r>
    </w:p>
    <w:p w14:paraId="56C82F29">
      <w:pPr>
        <w:rPr>
          <w:b/>
          <w:bCs/>
          <w:sz w:val="20"/>
          <w:szCs w:val="20"/>
          <w:highlight w:val="yellow"/>
        </w:rPr>
      </w:pPr>
      <w:sdt>
        <w:sdtPr>
          <w:rPr>
            <w:sz w:val="20"/>
            <w:szCs w:val="20"/>
          </w:rPr>
          <w:id w:val="805431812"/>
          <w14:checkbox>
            <w14:checked w14:val="1"/>
            <w14:checkedState w14:val="2612" w14:font="MS Gothic"/>
            <w14:uncheckedState w14:val="2610" w14:font="MS Gothic"/>
          </w14:checkbox>
        </w:sdtPr>
        <w:sdtEndPr>
          <w:rPr>
            <w:b/>
            <w:bCs/>
            <w:sz w:val="20"/>
            <w:szCs w:val="20"/>
            <w:highlight w:val="yellow"/>
          </w:rPr>
        </w:sdtEndPr>
        <w:sdtContent>
          <w:r>
            <w:rPr>
              <w:rFonts w:hint="eastAsia" w:ascii="MS Gothic" w:hAnsi="MS Gothic" w:eastAsia="MS Gothic" w:cstheme="minorBidi"/>
              <w:b/>
              <w:bCs/>
              <w:color w:val="000000" w:themeColor="text1"/>
              <w:sz w:val="20"/>
              <w:szCs w:val="20"/>
              <w:highlight w:val="yellow"/>
              <w:lang w:val="fr-FR" w:eastAsia="en-US" w:bidi="ar-SA"/>
              <w14:textFill>
                <w14:solidFill>
                  <w14:schemeClr w14:val="tx1"/>
                </w14:solidFill>
              </w14:textFill>
            </w:rPr>
            <w:t>☒</w:t>
          </w:r>
        </w:sdtContent>
      </w:sdt>
      <w:r>
        <w:rPr>
          <w:b/>
          <w:bCs/>
          <w:sz w:val="20"/>
          <w:szCs w:val="20"/>
          <w:highlight w:val="yellow"/>
        </w:rPr>
        <w:t xml:space="preserve"> </w:t>
      </w:r>
      <w:r>
        <w:rPr>
          <w:b/>
          <w:bCs/>
          <w:iCs/>
          <w:highlight w:val="yellow"/>
        </w:rPr>
        <w:t>Ponctuel</w:t>
      </w:r>
      <w:r>
        <w:rPr>
          <w:b/>
          <w:bCs/>
          <w:sz w:val="20"/>
          <w:szCs w:val="20"/>
          <w:highlight w:val="yellow"/>
        </w:rPr>
        <w:t xml:space="preserve"> - Il prend effet à compter de sa date de notification et s’achève après la réalisation d</w:t>
      </w:r>
      <w:r>
        <w:rPr>
          <w:rFonts w:hint="default"/>
          <w:b/>
          <w:bCs/>
          <w:sz w:val="20"/>
          <w:szCs w:val="20"/>
          <w:highlight w:val="yellow"/>
          <w:lang w:val="fr-FR"/>
        </w:rPr>
        <w:t xml:space="preserve">e la </w:t>
      </w:r>
      <w:r>
        <w:rPr>
          <w:b/>
          <w:bCs/>
          <w:sz w:val="20"/>
          <w:szCs w:val="20"/>
          <w:highlight w:val="yellow"/>
        </w:rPr>
        <w:t>prestation.</w:t>
      </w:r>
    </w:p>
    <w:p w14:paraId="41444F3D">
      <w:pPr>
        <w:rPr>
          <w:b w:val="0"/>
          <w:bCs w:val="0"/>
          <w:sz w:val="20"/>
          <w:szCs w:val="20"/>
          <w:highlight w:val="none"/>
        </w:rPr>
      </w:pPr>
      <w:sdt>
        <w:sdtPr>
          <w:rPr>
            <w:b/>
            <w:bCs/>
            <w:sz w:val="20"/>
            <w:szCs w:val="20"/>
            <w:highlight w:val="yellow"/>
          </w:rPr>
          <w:id w:val="-286282165"/>
          <w14:checkbox>
            <w14:checked w14:val="0"/>
            <w14:checkedState w14:val="2612" w14:font="MS Gothic"/>
            <w14:uncheckedState w14:val="2610" w14:font="MS Gothic"/>
          </w14:checkbox>
        </w:sdtPr>
        <w:sdtEndPr>
          <w:rPr>
            <w:b w:val="0"/>
            <w:bCs w:val="0"/>
            <w:sz w:val="20"/>
            <w:szCs w:val="20"/>
            <w:highlight w:val="none"/>
          </w:rPr>
        </w:sdtEndPr>
        <w:sdtContent>
          <w:r>
            <w:rPr>
              <w:rFonts w:hint="eastAsia" w:ascii="MS Gothic" w:hAnsi="MS Gothic" w:eastAsia="MS Gothic"/>
              <w:b w:val="0"/>
              <w:bCs w:val="0"/>
              <w:sz w:val="20"/>
              <w:szCs w:val="20"/>
              <w:highlight w:val="none"/>
            </w:rPr>
            <w:t>☐</w:t>
          </w:r>
        </w:sdtContent>
      </w:sdt>
      <w:r>
        <w:rPr>
          <w:b w:val="0"/>
          <w:bCs w:val="0"/>
          <w:sz w:val="20"/>
          <w:szCs w:val="20"/>
          <w:highlight w:val="none"/>
        </w:rPr>
        <w:t xml:space="preserve"> </w:t>
      </w:r>
      <w:r>
        <w:rPr>
          <w:b w:val="0"/>
          <w:bCs w:val="0"/>
          <w:szCs w:val="22"/>
          <w:highlight w:val="none"/>
        </w:rPr>
        <w:t xml:space="preserve">Annuel - </w:t>
      </w:r>
      <w:r>
        <w:rPr>
          <w:b w:val="0"/>
          <w:bCs w:val="0"/>
          <w:sz w:val="20"/>
          <w:szCs w:val="20"/>
          <w:highlight w:val="none"/>
        </w:rPr>
        <w:t>Il prend effet à compter de sa date de notification pour une durée d’un (1) an, puis renouvelable par reconduction tacite pour une nouvelle période d’un (1) an.</w:t>
      </w:r>
    </w:p>
    <w:p w14:paraId="20D4C37A">
      <w:pPr>
        <w:rPr>
          <w:b w:val="0"/>
          <w:bCs w:val="0"/>
          <w:sz w:val="20"/>
          <w:szCs w:val="20"/>
          <w:highlight w:val="none"/>
        </w:rPr>
      </w:pPr>
      <w:r>
        <w:rPr>
          <w:b w:val="0"/>
          <w:bCs w:val="0"/>
          <w:sz w:val="20"/>
          <w:szCs w:val="20"/>
          <w:highlight w:val="none"/>
        </w:rPr>
        <w:t>En cas de non-reconduction, le titulaire sera informé avec un préavis de deux mois.</w:t>
      </w:r>
    </w:p>
    <w:p w14:paraId="74A09F17">
      <w:pPr>
        <w:pStyle w:val="4"/>
        <w:ind w:left="567" w:hanging="567"/>
        <w:rPr>
          <w:sz w:val="20"/>
          <w:szCs w:val="20"/>
        </w:rPr>
      </w:pPr>
      <w:r>
        <w:rPr>
          <w:sz w:val="20"/>
          <w:szCs w:val="20"/>
        </w:rPr>
        <w:t>Dates, horaires et délais d’exécution</w:t>
      </w:r>
    </w:p>
    <w:p w14:paraId="054C58B6">
      <w:pPr>
        <w:pStyle w:val="5"/>
        <w:ind w:hanging="297"/>
        <w:rPr>
          <w:sz w:val="20"/>
          <w:szCs w:val="20"/>
        </w:rPr>
      </w:pPr>
      <w:r>
        <w:rPr>
          <w:sz w:val="20"/>
          <w:szCs w:val="20"/>
        </w:rPr>
        <w:t>Délais d’exécution</w:t>
      </w:r>
    </w:p>
    <w:p w14:paraId="51041D94">
      <w:pPr>
        <w:rPr>
          <w:sz w:val="20"/>
          <w:szCs w:val="20"/>
        </w:rPr>
      </w:pPr>
      <w:r>
        <w:rPr>
          <w:sz w:val="20"/>
          <w:szCs w:val="20"/>
        </w:rPr>
        <w:t>Les délais contractuels d’exécution des prestations sont précisés dans l’offre technique du titulaire.</w:t>
      </w:r>
    </w:p>
    <w:p w14:paraId="5BECACE2">
      <w:pPr>
        <w:pStyle w:val="5"/>
        <w:ind w:hanging="297"/>
        <w:rPr>
          <w:sz w:val="20"/>
          <w:szCs w:val="20"/>
        </w:rPr>
      </w:pPr>
      <w:r>
        <w:rPr>
          <w:sz w:val="20"/>
          <w:szCs w:val="20"/>
        </w:rPr>
        <w:t>Dates et horaires</w:t>
      </w:r>
    </w:p>
    <w:p w14:paraId="26650D2A">
      <w:pPr>
        <w:rPr>
          <w:sz w:val="20"/>
          <w:szCs w:val="20"/>
        </w:rPr>
      </w:pPr>
      <w:r>
        <w:rPr>
          <w:sz w:val="20"/>
          <w:szCs w:val="20"/>
        </w:rPr>
        <w:t>Les dates et les horaires d’exécution des prestations seront confirmés après la notification du marché.</w:t>
      </w:r>
    </w:p>
    <w:p w14:paraId="7E580BAB">
      <w:pPr>
        <w:pStyle w:val="3"/>
        <w:ind w:left="796" w:leftChars="0" w:firstLineChars="0"/>
        <w:rPr>
          <w:sz w:val="20"/>
          <w:szCs w:val="20"/>
        </w:rPr>
      </w:pPr>
      <w:r>
        <w:rPr>
          <w:sz w:val="20"/>
          <w:szCs w:val="20"/>
        </w:rPr>
        <w:t>Documents contractuels</w:t>
      </w:r>
    </w:p>
    <w:p w14:paraId="5504D73F">
      <w:pPr>
        <w:pStyle w:val="67"/>
        <w:keepNext w:val="0"/>
        <w:spacing w:before="0"/>
        <w:rPr>
          <w:sz w:val="20"/>
          <w:szCs w:val="20"/>
        </w:rPr>
      </w:pPr>
      <w:r>
        <w:rPr>
          <w:sz w:val="20"/>
          <w:szCs w:val="20"/>
        </w:rPr>
        <w:t>Toute clause figurant aux conditions générales du titulaire sur ses tarifs ou au dos de ses factures, et contraire aux documents indiqués ci-dessous, est réputée non écrite.</w:t>
      </w:r>
    </w:p>
    <w:p w14:paraId="1A5283F2">
      <w:pPr>
        <w:pStyle w:val="67"/>
        <w:spacing w:before="0"/>
        <w:rPr>
          <w:sz w:val="20"/>
          <w:szCs w:val="20"/>
        </w:rPr>
      </w:pPr>
      <w:r>
        <w:rPr>
          <w:sz w:val="20"/>
          <w:szCs w:val="20"/>
        </w:rPr>
        <w:t>Le marché est constitué par les documents contractuels énumérés ci-dessous par ordre de priorité décroissante :</w:t>
      </w:r>
    </w:p>
    <w:p w14:paraId="19696433">
      <w:pPr>
        <w:pStyle w:val="23"/>
        <w:numPr>
          <w:ilvl w:val="0"/>
          <w:numId w:val="13"/>
        </w:numPr>
        <w:rPr>
          <w:sz w:val="20"/>
          <w:szCs w:val="20"/>
        </w:rPr>
      </w:pPr>
      <w:r>
        <w:rPr>
          <w:sz w:val="20"/>
          <w:szCs w:val="20"/>
        </w:rPr>
        <w:t xml:space="preserve">Le présent </w:t>
      </w:r>
      <w:r>
        <w:rPr>
          <w:rStyle w:val="15"/>
          <w:sz w:val="20"/>
          <w:szCs w:val="20"/>
        </w:rPr>
        <w:t>cahier des clauses particulières valant acte d’engagement</w:t>
      </w:r>
      <w:r>
        <w:rPr>
          <w:sz w:val="20"/>
          <w:szCs w:val="20"/>
        </w:rPr>
        <w:t xml:space="preserve"> (CCP-AE n°GBM_2</w:t>
      </w:r>
      <w:r>
        <w:rPr>
          <w:rFonts w:hint="default"/>
          <w:sz w:val="20"/>
          <w:szCs w:val="20"/>
          <w:lang w:val="fr-FR"/>
        </w:rPr>
        <w:t>6022</w:t>
      </w:r>
      <w:r>
        <w:rPr>
          <w:sz w:val="20"/>
          <w:szCs w:val="20"/>
        </w:rPr>
        <w:t>) et son annexe financière</w:t>
      </w:r>
      <w:r>
        <w:rPr>
          <w:rFonts w:ascii="Calibri" w:hAnsi="Calibri" w:cs="Calibri"/>
          <w:sz w:val="20"/>
          <w:szCs w:val="20"/>
        </w:rPr>
        <w:t> </w:t>
      </w:r>
      <w:r>
        <w:rPr>
          <w:sz w:val="20"/>
          <w:szCs w:val="20"/>
        </w:rPr>
        <w:t>;</w:t>
      </w:r>
    </w:p>
    <w:p w14:paraId="7B35B25E">
      <w:pPr>
        <w:pStyle w:val="23"/>
        <w:rPr>
          <w:sz w:val="20"/>
          <w:szCs w:val="20"/>
        </w:rPr>
      </w:pPr>
      <w:r>
        <w:rPr>
          <w:sz w:val="20"/>
          <w:szCs w:val="20"/>
        </w:rPr>
        <w:t xml:space="preserve">Le </w:t>
      </w:r>
      <w:r>
        <w:rPr>
          <w:rStyle w:val="15"/>
          <w:sz w:val="20"/>
          <w:szCs w:val="20"/>
        </w:rPr>
        <w:t>cahier des clauses administratives générales des marchés publics de fournitures courantes et de services</w:t>
      </w:r>
      <w:r>
        <w:rPr>
          <w:sz w:val="20"/>
          <w:szCs w:val="20"/>
        </w:rPr>
        <w:t xml:space="preserve"> (CCAG-FCS), approuvé par arrêté interministériel du 30</w:t>
      </w:r>
      <w:r>
        <w:rPr>
          <w:rFonts w:ascii="Calibri" w:hAnsi="Calibri" w:cs="Calibri"/>
          <w:sz w:val="20"/>
          <w:szCs w:val="20"/>
        </w:rPr>
        <w:t> </w:t>
      </w:r>
      <w:r>
        <w:rPr>
          <w:sz w:val="20"/>
          <w:szCs w:val="20"/>
        </w:rPr>
        <w:t>mars 2021 (JORF n° 0078 du 1</w:t>
      </w:r>
      <w:r>
        <w:rPr>
          <w:sz w:val="20"/>
          <w:szCs w:val="20"/>
          <w:vertAlign w:val="superscript"/>
        </w:rPr>
        <w:t>er</w:t>
      </w:r>
      <w:r>
        <w:rPr>
          <w:rFonts w:ascii="Calibri" w:hAnsi="Calibri" w:cs="Calibri"/>
          <w:sz w:val="20"/>
          <w:szCs w:val="20"/>
        </w:rPr>
        <w:t> </w:t>
      </w:r>
      <w:r>
        <w:rPr>
          <w:sz w:val="20"/>
          <w:szCs w:val="20"/>
        </w:rPr>
        <w:t>avril 2021)</w:t>
      </w:r>
      <w:r>
        <w:rPr>
          <w:rFonts w:ascii="Calibri" w:hAnsi="Calibri" w:cs="Calibri"/>
          <w:sz w:val="20"/>
          <w:szCs w:val="20"/>
        </w:rPr>
        <w:t> </w:t>
      </w:r>
      <w:r>
        <w:rPr>
          <w:sz w:val="20"/>
          <w:szCs w:val="20"/>
        </w:rPr>
        <w:t>;</w:t>
      </w:r>
    </w:p>
    <w:p w14:paraId="6B989C02">
      <w:pPr>
        <w:pStyle w:val="23"/>
        <w:rPr>
          <w:sz w:val="20"/>
          <w:szCs w:val="20"/>
        </w:rPr>
      </w:pPr>
      <w:r>
        <w:rPr>
          <w:sz w:val="20"/>
          <w:szCs w:val="20"/>
        </w:rPr>
        <w:t>L’</w:t>
      </w:r>
      <w:r>
        <w:rPr>
          <w:rStyle w:val="15"/>
          <w:sz w:val="20"/>
          <w:szCs w:val="20"/>
        </w:rPr>
        <w:t xml:space="preserve">offre technique </w:t>
      </w:r>
      <w:r>
        <w:rPr>
          <w:sz w:val="20"/>
          <w:szCs w:val="20"/>
        </w:rPr>
        <w:t>du titulaire</w:t>
      </w:r>
      <w:r>
        <w:rPr>
          <w:rFonts w:ascii="Calibri" w:hAnsi="Calibri" w:cs="Calibri"/>
          <w:sz w:val="20"/>
          <w:szCs w:val="20"/>
        </w:rPr>
        <w:t> </w:t>
      </w:r>
      <w:r>
        <w:rPr>
          <w:sz w:val="20"/>
          <w:szCs w:val="20"/>
        </w:rPr>
        <w:t>;</w:t>
      </w:r>
    </w:p>
    <w:p w14:paraId="2DED76A9">
      <w:pPr>
        <w:pStyle w:val="23"/>
        <w:rPr>
          <w:sz w:val="20"/>
          <w:szCs w:val="20"/>
        </w:rPr>
      </w:pPr>
      <w:r>
        <w:rPr>
          <w:sz w:val="20"/>
          <w:szCs w:val="20"/>
        </w:rPr>
        <w:t>Toutes autres pièces particulières contractuelles réclamées au stade de la passation ou de l’exécution du marché.</w:t>
      </w:r>
    </w:p>
    <w:p w14:paraId="0FE816A6">
      <w:pPr>
        <w:pStyle w:val="3"/>
        <w:ind w:left="796" w:leftChars="0" w:firstLineChars="0"/>
        <w:rPr>
          <w:sz w:val="20"/>
          <w:szCs w:val="20"/>
        </w:rPr>
      </w:pPr>
      <w:r>
        <w:rPr>
          <w:sz w:val="20"/>
          <w:szCs w:val="20"/>
        </w:rPr>
        <w:t xml:space="preserve">Modalités administratives d’exécution des prestations </w:t>
      </w:r>
    </w:p>
    <w:p w14:paraId="42FA00E4">
      <w:pPr>
        <w:pStyle w:val="4"/>
        <w:spacing w:after="120"/>
        <w:ind w:left="567" w:hanging="595"/>
        <w:rPr>
          <w:sz w:val="20"/>
          <w:szCs w:val="20"/>
        </w:rPr>
      </w:pPr>
      <w:r>
        <w:rPr>
          <w:sz w:val="20"/>
          <w:szCs w:val="20"/>
        </w:rPr>
        <w:t>Correspondants techniques et administratifs</w:t>
      </w:r>
    </w:p>
    <w:p w14:paraId="0C010A37">
      <w:pPr>
        <w:pStyle w:val="67"/>
        <w:spacing w:before="0"/>
        <w:rPr>
          <w:sz w:val="20"/>
          <w:szCs w:val="20"/>
        </w:rPr>
      </w:pPr>
      <w:r>
        <w:rPr>
          <w:sz w:val="20"/>
          <w:szCs w:val="20"/>
        </w:rPr>
        <w:t>Les interlocuteurs du titulaire sont :</w:t>
      </w:r>
    </w:p>
    <w:p w14:paraId="1EF19C3A">
      <w:pPr>
        <w:pStyle w:val="31"/>
        <w:spacing w:before="0"/>
        <w:contextualSpacing/>
        <w:rPr>
          <w:sz w:val="20"/>
          <w:szCs w:val="20"/>
        </w:rPr>
      </w:pPr>
      <w:r>
        <w:rPr>
          <w:rStyle w:val="15"/>
          <w:sz w:val="20"/>
          <w:szCs w:val="20"/>
        </w:rPr>
        <w:t>Interlocuteur technique :</w:t>
      </w:r>
      <w:r>
        <w:rPr>
          <w:sz w:val="20"/>
          <w:szCs w:val="20"/>
        </w:rPr>
        <w:t xml:space="preserve"> IGN/SREF/</w:t>
      </w:r>
      <w:bookmarkStart w:id="7" w:name="_Hlk180492074"/>
      <w:r>
        <w:rPr>
          <w:sz w:val="20"/>
          <w:szCs w:val="20"/>
        </w:rPr>
        <w:t>Département GPEEC Formation</w:t>
      </w:r>
      <w:r>
        <w:rPr>
          <w:rFonts w:ascii="Calibri" w:hAnsi="Calibri" w:cs="Calibri"/>
          <w:sz w:val="20"/>
          <w:szCs w:val="20"/>
        </w:rPr>
        <w:t> </w:t>
      </w:r>
      <w:bookmarkEnd w:id="7"/>
      <w:r>
        <w:rPr>
          <w:sz w:val="20"/>
          <w:szCs w:val="20"/>
        </w:rPr>
        <w:t>:</w:t>
      </w:r>
    </w:p>
    <w:p w14:paraId="3603120C">
      <w:pPr>
        <w:pStyle w:val="17"/>
        <w:numPr>
          <w:ilvl w:val="0"/>
          <w:numId w:val="0"/>
        </w:numPr>
        <w:spacing w:before="0"/>
        <w:ind w:left="567"/>
        <w:contextualSpacing/>
        <w:rPr>
          <w:sz w:val="20"/>
          <w:szCs w:val="20"/>
        </w:rPr>
      </w:pPr>
      <w:r>
        <w:rPr>
          <w:sz w:val="20"/>
          <w:szCs w:val="20"/>
        </w:rPr>
        <w:t>73, avenue de paris – 94165 Saint-Mandé</w:t>
      </w:r>
    </w:p>
    <w:p w14:paraId="2ED819F2">
      <w:pPr>
        <w:pStyle w:val="17"/>
        <w:numPr>
          <w:ilvl w:val="0"/>
          <w:numId w:val="0"/>
        </w:numPr>
        <w:spacing w:before="0"/>
        <w:ind w:left="567"/>
        <w:rPr>
          <w:sz w:val="20"/>
          <w:szCs w:val="20"/>
        </w:rPr>
      </w:pPr>
      <w:r>
        <w:rPr>
          <w:sz w:val="20"/>
          <w:szCs w:val="20"/>
        </w:rPr>
        <w:t xml:space="preserve">Courriel : </w:t>
      </w:r>
      <w:r>
        <w:fldChar w:fldCharType="begin"/>
      </w:r>
      <w:r>
        <w:instrText xml:space="preserve"> HYPERLINK "mailto:eric.charrier@ign.fr" </w:instrText>
      </w:r>
      <w:r>
        <w:fldChar w:fldCharType="separate"/>
      </w:r>
      <w:r>
        <w:rPr>
          <w:rStyle w:val="12"/>
          <w:sz w:val="20"/>
          <w:szCs w:val="20"/>
        </w:rPr>
        <w:t>eric.charrier@ign.fr</w:t>
      </w:r>
      <w:r>
        <w:rPr>
          <w:rStyle w:val="12"/>
          <w:sz w:val="20"/>
          <w:szCs w:val="20"/>
        </w:rPr>
        <w:fldChar w:fldCharType="end"/>
      </w:r>
    </w:p>
    <w:p w14:paraId="33682C9C">
      <w:pPr>
        <w:pStyle w:val="31"/>
        <w:spacing w:before="0"/>
        <w:ind w:left="568" w:hanging="284"/>
        <w:contextualSpacing/>
        <w:rPr>
          <w:sz w:val="20"/>
          <w:szCs w:val="20"/>
        </w:rPr>
      </w:pPr>
      <w:r>
        <w:rPr>
          <w:rStyle w:val="15"/>
          <w:sz w:val="20"/>
          <w:szCs w:val="20"/>
        </w:rPr>
        <w:t>Interlocuteur administratif :</w:t>
      </w:r>
      <w:r>
        <w:rPr>
          <w:sz w:val="20"/>
          <w:szCs w:val="20"/>
        </w:rPr>
        <w:t xml:space="preserve"> IGN/SAM/Département des marchés</w:t>
      </w:r>
      <w:r>
        <w:rPr>
          <w:rFonts w:ascii="Calibri" w:hAnsi="Calibri" w:cs="Calibri"/>
          <w:sz w:val="20"/>
          <w:szCs w:val="20"/>
        </w:rPr>
        <w:t> </w:t>
      </w:r>
      <w:r>
        <w:rPr>
          <w:sz w:val="20"/>
          <w:szCs w:val="20"/>
        </w:rPr>
        <w:t>:</w:t>
      </w:r>
    </w:p>
    <w:p w14:paraId="3E843264">
      <w:pPr>
        <w:pStyle w:val="17"/>
        <w:numPr>
          <w:ilvl w:val="0"/>
          <w:numId w:val="0"/>
        </w:numPr>
        <w:spacing w:before="0"/>
        <w:ind w:left="567"/>
        <w:contextualSpacing/>
        <w:rPr>
          <w:sz w:val="20"/>
          <w:szCs w:val="20"/>
        </w:rPr>
      </w:pPr>
      <w:r>
        <w:rPr>
          <w:sz w:val="20"/>
          <w:szCs w:val="20"/>
        </w:rPr>
        <w:t>73, avenue de paris – 94165 Saint-Mandé</w:t>
      </w:r>
    </w:p>
    <w:p w14:paraId="78864BF6">
      <w:pPr>
        <w:pStyle w:val="17"/>
        <w:numPr>
          <w:ilvl w:val="0"/>
          <w:numId w:val="0"/>
        </w:numPr>
        <w:spacing w:before="0"/>
        <w:ind w:left="567"/>
        <w:rPr>
          <w:sz w:val="20"/>
          <w:szCs w:val="20"/>
        </w:rPr>
      </w:pPr>
      <w:r>
        <w:rPr>
          <w:sz w:val="20"/>
          <w:szCs w:val="20"/>
        </w:rPr>
        <w:t xml:space="preserve">Courriel : </w:t>
      </w:r>
      <w:r>
        <w:fldChar w:fldCharType="begin"/>
      </w:r>
      <w:r>
        <w:instrText xml:space="preserve"> HYPERLINK "mailto:marches-publics@ign.fr" </w:instrText>
      </w:r>
      <w:r>
        <w:fldChar w:fldCharType="separate"/>
      </w:r>
      <w:r>
        <w:rPr>
          <w:rStyle w:val="12"/>
          <w:sz w:val="20"/>
          <w:szCs w:val="20"/>
        </w:rPr>
        <w:t>marches-publics@ign.fr</w:t>
      </w:r>
      <w:r>
        <w:rPr>
          <w:rStyle w:val="12"/>
          <w:sz w:val="20"/>
          <w:szCs w:val="20"/>
        </w:rPr>
        <w:fldChar w:fldCharType="end"/>
      </w:r>
    </w:p>
    <w:p w14:paraId="533410C4">
      <w:pPr>
        <w:pStyle w:val="4"/>
        <w:spacing w:after="120"/>
        <w:ind w:left="567" w:hanging="567"/>
        <w:rPr>
          <w:sz w:val="20"/>
          <w:szCs w:val="20"/>
        </w:rPr>
      </w:pPr>
      <w:r>
        <w:rPr>
          <w:sz w:val="20"/>
          <w:szCs w:val="20"/>
        </w:rPr>
        <w:t>Attestation de formation</w:t>
      </w:r>
    </w:p>
    <w:p w14:paraId="0F74193B">
      <w:pPr>
        <w:rPr>
          <w:sz w:val="20"/>
          <w:szCs w:val="20"/>
        </w:rPr>
      </w:pPr>
      <w:r>
        <w:rPr>
          <w:sz w:val="20"/>
          <w:szCs w:val="20"/>
        </w:rPr>
        <w:t xml:space="preserve">Le titulaire s’engage à faire parvenir une attestation de formation pour chaque agent ayant suivi une formation. Cette attestation sera envoyée par courrier ou par courriel au Département GPEEC Formation qui la fera parvenir aux agents concernés. </w:t>
      </w:r>
    </w:p>
    <w:p w14:paraId="73F8A0BB">
      <w:pPr>
        <w:rPr>
          <w:sz w:val="20"/>
          <w:szCs w:val="20"/>
        </w:rPr>
      </w:pPr>
      <w:r>
        <w:rPr>
          <w:sz w:val="20"/>
          <w:szCs w:val="20"/>
        </w:rPr>
        <w:t>Le paiement de la prestation est subordonné à la fourniture de l’attestation de formation et, pour les formations en intra, de la feuille de présence émargée par les stagiaires.</w:t>
      </w:r>
    </w:p>
    <w:p w14:paraId="243B1DE5">
      <w:pPr>
        <w:pStyle w:val="4"/>
        <w:spacing w:after="120"/>
        <w:ind w:left="567" w:hanging="567"/>
        <w:rPr>
          <w:sz w:val="20"/>
          <w:szCs w:val="20"/>
        </w:rPr>
      </w:pPr>
      <w:r>
        <w:rPr>
          <w:sz w:val="20"/>
          <w:szCs w:val="20"/>
        </w:rPr>
        <w:t>Modalités d’inscription aux formations</w:t>
      </w:r>
    </w:p>
    <w:p w14:paraId="0AF6ACB1">
      <w:pPr>
        <w:rPr>
          <w:sz w:val="20"/>
          <w:szCs w:val="20"/>
        </w:rPr>
      </w:pPr>
      <w:r>
        <w:rPr>
          <w:sz w:val="20"/>
          <w:szCs w:val="20"/>
        </w:rPr>
        <w:t>Les demandes d’inscription aux sessions de formations seront transmises par le Département GPEEC Formation au titulaire par courrier ou par courriel. Toute demande émanant d’un agent ou de tout autre service de l’IGN sera considérée comme non valide.</w:t>
      </w:r>
    </w:p>
    <w:p w14:paraId="344BB541">
      <w:pPr>
        <w:pStyle w:val="4"/>
        <w:spacing w:after="120"/>
        <w:ind w:left="567" w:hanging="567"/>
        <w:rPr>
          <w:sz w:val="20"/>
          <w:szCs w:val="20"/>
        </w:rPr>
      </w:pPr>
      <w:r>
        <w:rPr>
          <w:sz w:val="20"/>
          <w:szCs w:val="20"/>
        </w:rPr>
        <w:t>Modalités d’annulation ou de changement de date</w:t>
      </w:r>
    </w:p>
    <w:p w14:paraId="577545DE">
      <w:pPr>
        <w:rPr>
          <w:sz w:val="20"/>
          <w:szCs w:val="20"/>
        </w:rPr>
      </w:pPr>
      <w:r>
        <w:rPr>
          <w:sz w:val="20"/>
          <w:szCs w:val="20"/>
        </w:rPr>
        <w:t>Sauf commun accord entre les parties, l’IGN pourra annuler des inscriptions à des sessions de formation ou modifier une date sans pénalités, sous réserve que ces annulations ou modifications interviennent au plus tard 1</w:t>
      </w:r>
      <w:r>
        <w:rPr>
          <w:rFonts w:ascii="Calibri" w:hAnsi="Calibri" w:cs="Calibri"/>
          <w:sz w:val="20"/>
          <w:szCs w:val="20"/>
        </w:rPr>
        <w:t> </w:t>
      </w:r>
      <w:r>
        <w:rPr>
          <w:sz w:val="20"/>
          <w:szCs w:val="20"/>
        </w:rPr>
        <w:t>mois avant la date de la formation.</w:t>
      </w:r>
    </w:p>
    <w:p w14:paraId="49064BE3">
      <w:pPr>
        <w:rPr>
          <w:sz w:val="20"/>
          <w:szCs w:val="20"/>
        </w:rPr>
      </w:pPr>
      <w:r>
        <w:rPr>
          <w:sz w:val="20"/>
          <w:szCs w:val="20"/>
        </w:rPr>
        <w:t>Toute demande d’annulation ou de modification intervenant entre 1</w:t>
      </w:r>
      <w:r>
        <w:rPr>
          <w:rFonts w:ascii="Calibri" w:hAnsi="Calibri" w:cs="Calibri"/>
          <w:sz w:val="20"/>
          <w:szCs w:val="20"/>
        </w:rPr>
        <w:t> </w:t>
      </w:r>
      <w:r>
        <w:rPr>
          <w:sz w:val="20"/>
          <w:szCs w:val="20"/>
        </w:rPr>
        <w:t>mois et 5</w:t>
      </w:r>
      <w:r>
        <w:rPr>
          <w:rFonts w:ascii="Calibri" w:hAnsi="Calibri" w:cs="Calibri"/>
          <w:sz w:val="20"/>
          <w:szCs w:val="20"/>
        </w:rPr>
        <w:t> </w:t>
      </w:r>
      <w:r>
        <w:rPr>
          <w:sz w:val="20"/>
          <w:szCs w:val="20"/>
        </w:rPr>
        <w:t>jours précédant la date de la formation entraînera une indemnité égale à 30</w:t>
      </w:r>
      <w:r>
        <w:rPr>
          <w:rFonts w:ascii="Calibri" w:hAnsi="Calibri" w:cs="Calibri"/>
          <w:sz w:val="20"/>
          <w:szCs w:val="20"/>
        </w:rPr>
        <w:t> </w:t>
      </w:r>
      <w:r>
        <w:rPr>
          <w:sz w:val="20"/>
          <w:szCs w:val="20"/>
        </w:rPr>
        <w:t>% du coût de la formation. Toute formation annulée ou modifiée dans les 5</w:t>
      </w:r>
      <w:r>
        <w:rPr>
          <w:rFonts w:ascii="Calibri" w:hAnsi="Calibri" w:cs="Calibri"/>
          <w:sz w:val="20"/>
          <w:szCs w:val="20"/>
        </w:rPr>
        <w:t> </w:t>
      </w:r>
      <w:r>
        <w:rPr>
          <w:sz w:val="20"/>
          <w:szCs w:val="20"/>
        </w:rPr>
        <w:t>jours précédant son commencement entraînera le paiement d’une indemnité de 50</w:t>
      </w:r>
      <w:r>
        <w:rPr>
          <w:rFonts w:ascii="Calibri" w:hAnsi="Calibri" w:cs="Calibri"/>
          <w:sz w:val="20"/>
          <w:szCs w:val="20"/>
        </w:rPr>
        <w:t> </w:t>
      </w:r>
      <w:r>
        <w:rPr>
          <w:sz w:val="20"/>
          <w:szCs w:val="20"/>
        </w:rPr>
        <w:t>% du coût de la formation.</w:t>
      </w:r>
    </w:p>
    <w:p w14:paraId="119A0F12">
      <w:pPr>
        <w:rPr>
          <w:sz w:val="20"/>
          <w:szCs w:val="20"/>
        </w:rPr>
      </w:pPr>
      <w:r>
        <w:rPr>
          <w:sz w:val="20"/>
          <w:szCs w:val="20"/>
        </w:rPr>
        <w:t>Toute formation commencée sera due en totalité.</w:t>
      </w:r>
    </w:p>
    <w:p w14:paraId="5E40E394">
      <w:pPr>
        <w:rPr>
          <w:sz w:val="20"/>
          <w:szCs w:val="20"/>
        </w:rPr>
      </w:pPr>
      <w:r>
        <w:rPr>
          <w:sz w:val="20"/>
          <w:szCs w:val="20"/>
        </w:rPr>
        <w:t>Par ailleurs, un agent IGN inscrit pourra être remplacé par un autre agent IGN à tout moment (avant le début d’une session) sans frais supplémentaire ou indemnité.</w:t>
      </w:r>
    </w:p>
    <w:p w14:paraId="7A678DE3">
      <w:pPr>
        <w:rPr>
          <w:sz w:val="20"/>
          <w:szCs w:val="20"/>
        </w:rPr>
      </w:pPr>
      <w:r>
        <w:rPr>
          <w:sz w:val="20"/>
          <w:szCs w:val="20"/>
        </w:rPr>
        <w:t>Les demandes d’annulation ou de modification de date seront transférées par courrier ou par courriel par le Département GPEEC Formation qui est le seul autorisé à annuler ou modifier une formation. Toute demande d’annulation émanant d’un agent ou de tout autre service de l’IGN sera considérée comme non valide.</w:t>
      </w:r>
    </w:p>
    <w:p w14:paraId="71BB3798">
      <w:pPr>
        <w:rPr>
          <w:sz w:val="20"/>
          <w:szCs w:val="20"/>
        </w:rPr>
      </w:pPr>
      <w:r>
        <w:rPr>
          <w:sz w:val="20"/>
          <w:szCs w:val="20"/>
        </w:rPr>
        <w:t>En cas d’annulation ou de modification de date par le titulaire, celui-ci s’engage à en informer le Département GPEEC Formation par courrier ou par courriel.</w:t>
      </w:r>
    </w:p>
    <w:p w14:paraId="3650C56B">
      <w:pPr>
        <w:rPr>
          <w:sz w:val="20"/>
          <w:szCs w:val="20"/>
        </w:rPr>
      </w:pPr>
      <w:r>
        <w:rPr>
          <w:sz w:val="20"/>
          <w:szCs w:val="20"/>
        </w:rPr>
        <w:t>Aucun paiement de formation annulée par le titulaire ne pourra être exigé par celui-ci.</w:t>
      </w:r>
    </w:p>
    <w:p w14:paraId="67D3C873">
      <w:pPr>
        <w:rPr>
          <w:rFonts w:ascii="Arial" w:hAnsi="Arial" w:eastAsia="Times New Roman" w:cs="Arial"/>
          <w:bCs/>
          <w:sz w:val="20"/>
          <w:szCs w:val="20"/>
          <w:lang w:eastAsia="fr-FR"/>
        </w:rPr>
      </w:pPr>
      <w:r>
        <w:rPr>
          <w:rFonts w:ascii="Arial" w:hAnsi="Arial" w:eastAsia="Times New Roman" w:cs="Arial"/>
          <w:b/>
          <w:bCs/>
          <w:sz w:val="20"/>
          <w:szCs w:val="20"/>
          <w:highlight w:val="yellow"/>
          <w:lang w:eastAsia="fr-FR"/>
        </w:rPr>
        <w:t>Formation en inter </w:t>
      </w:r>
      <w:r>
        <w:rPr>
          <w:rFonts w:ascii="Arial" w:hAnsi="Arial" w:eastAsia="Times New Roman" w:cs="Arial"/>
          <w:bCs/>
          <w:sz w:val="20"/>
          <w:szCs w:val="20"/>
          <w:highlight w:val="yellow"/>
          <w:lang w:eastAsia="fr-FR"/>
        </w:rPr>
        <w:t>:</w:t>
      </w:r>
      <w:r>
        <w:rPr>
          <w:rFonts w:ascii="Arial" w:hAnsi="Arial" w:eastAsia="Times New Roman" w:cs="Arial"/>
          <w:bCs/>
          <w:sz w:val="20"/>
          <w:szCs w:val="20"/>
          <w:lang w:eastAsia="fr-FR"/>
        </w:rPr>
        <w:t xml:space="preserve"> </w:t>
      </w:r>
      <w:r>
        <w:rPr>
          <w:sz w:val="20"/>
          <w:szCs w:val="20"/>
        </w:rPr>
        <w:t>En cas d’annulation ou de modification notamment en raison d’un nombre insuffisant de stagiaires inscrits, le titulaire proposera à l’IGN une inscription en priorité à une prochaine session de la même formation.</w:t>
      </w:r>
    </w:p>
    <w:p w14:paraId="53B275CF">
      <w:pPr>
        <w:pStyle w:val="4"/>
        <w:spacing w:after="120"/>
        <w:ind w:left="567" w:hanging="567"/>
        <w:rPr>
          <w:sz w:val="20"/>
          <w:szCs w:val="20"/>
        </w:rPr>
      </w:pPr>
      <w:r>
        <w:rPr>
          <w:sz w:val="20"/>
          <w:szCs w:val="20"/>
        </w:rPr>
        <w:t>Évaluation des formations</w:t>
      </w:r>
    </w:p>
    <w:p w14:paraId="6CE5EAC1">
      <w:pPr>
        <w:rPr>
          <w:sz w:val="20"/>
          <w:szCs w:val="20"/>
        </w:rPr>
      </w:pPr>
      <w:r>
        <w:rPr>
          <w:sz w:val="20"/>
          <w:szCs w:val="20"/>
        </w:rPr>
        <w:t>Le titulaire s’engage à mettre en œuvre un dispositif d’évaluation dont le résultat est communiqué au Département GPEEC Formation. Lorsque le taux de satisfaction des stagiaires est inférieur à la moyenne, l’IGN et le titulaire se concertent pour établir un diagnostic et, s’il y a lieu, mettre en place des mesures correctives.</w:t>
      </w:r>
    </w:p>
    <w:p w14:paraId="066E15EA">
      <w:pPr>
        <w:pStyle w:val="3"/>
        <w:ind w:left="796" w:leftChars="0" w:firstLineChars="0"/>
        <w:rPr>
          <w:sz w:val="20"/>
          <w:szCs w:val="20"/>
        </w:rPr>
      </w:pPr>
      <w:r>
        <w:rPr>
          <w:sz w:val="20"/>
          <w:szCs w:val="20"/>
        </w:rPr>
        <w:t xml:space="preserve">Prix </w:t>
      </w:r>
    </w:p>
    <w:p w14:paraId="484B6F13">
      <w:pPr>
        <w:rPr>
          <w:sz w:val="20"/>
          <w:szCs w:val="20"/>
        </w:rPr>
      </w:pPr>
      <w:r>
        <w:rPr>
          <w:sz w:val="20"/>
          <w:szCs w:val="20"/>
        </w:rPr>
        <w:t>La monnaie de référence est l’euro. Le taux de TVA applicable est celui en vigueur au moment du fait générateur.</w:t>
      </w:r>
    </w:p>
    <w:p w14:paraId="10F1072B">
      <w:pPr>
        <w:rPr>
          <w:sz w:val="20"/>
          <w:szCs w:val="20"/>
        </w:rPr>
      </w:pPr>
      <w:r>
        <w:rPr>
          <w:sz w:val="20"/>
          <w:szCs w:val="20"/>
        </w:rPr>
        <w:t>Les prix sont réputés comprendre toutes les charges fiscales, parafiscales ou autres frappant obligatoirement la prestation. Ils comprennent également l’ensemble des frais afférents aux éléments constitutifs de la prestation, ainsi que tous les éventuels frais annexes (repas, fourniture et acheminement de supports, déplacement du formateur, frais divers de secrétariat, etc.) pour son exécution complète.</w:t>
      </w:r>
    </w:p>
    <w:p w14:paraId="7658F4CA">
      <w:pPr>
        <w:rPr>
          <w:sz w:val="20"/>
          <w:szCs w:val="20"/>
        </w:rPr>
      </w:pPr>
      <w:r>
        <w:rPr>
          <w:sz w:val="20"/>
          <w:szCs w:val="20"/>
        </w:rPr>
        <w:t>Le titulaire est rémunéré par</w:t>
      </w:r>
      <w:r>
        <w:rPr>
          <w:rFonts w:ascii="Calibri" w:hAnsi="Calibri" w:cs="Calibri"/>
          <w:sz w:val="20"/>
          <w:szCs w:val="20"/>
        </w:rPr>
        <w:t> </w:t>
      </w:r>
      <w:r>
        <w:rPr>
          <w:sz w:val="20"/>
          <w:szCs w:val="20"/>
        </w:rPr>
        <w:t>:</w:t>
      </w:r>
    </w:p>
    <w:p w14:paraId="69CB9A78">
      <w:pPr>
        <w:rPr>
          <w:rFonts w:hint="default"/>
          <w:b/>
          <w:bCs/>
          <w:sz w:val="20"/>
          <w:szCs w:val="20"/>
          <w:highlight w:val="none"/>
          <w:lang w:val="fr-FR"/>
        </w:rPr>
      </w:pPr>
      <w:sdt>
        <w:sdtPr>
          <w:rPr>
            <w:sz w:val="20"/>
            <w:szCs w:val="20"/>
          </w:rPr>
          <w:id w:val="-13078417"/>
          <w14:checkbox>
            <w14:checked w14:val="1"/>
            <w14:checkedState w14:val="2612" w14:font="MS Gothic"/>
            <w14:uncheckedState w14:val="2610" w14:font="MS Gothic"/>
          </w14:checkbox>
        </w:sdtPr>
        <w:sdtEndPr>
          <w:rPr>
            <w:b w:val="0"/>
            <w:bCs w:val="0"/>
            <w:color w:val="0000FF"/>
            <w:sz w:val="20"/>
            <w:szCs w:val="20"/>
            <w:highlight w:val="yellow"/>
          </w:rPr>
        </w:sdtEndPr>
        <w:sdtContent>
          <w:r>
            <w:rPr>
              <w:rFonts w:hint="eastAsia" w:ascii="MS Gothic" w:hAnsi="MS Gothic" w:eastAsia="MS Gothic" w:cstheme="minorBidi"/>
              <w:color w:val="000000" w:themeColor="text1"/>
              <w:sz w:val="20"/>
              <w:szCs w:val="20"/>
              <w:lang w:val="fr-FR" w:eastAsia="en-US" w:bidi="ar-SA"/>
              <w14:textFill>
                <w14:solidFill>
                  <w14:schemeClr w14:val="tx1"/>
                </w14:solidFill>
              </w14:textFill>
            </w:rPr>
            <w:t>☒</w:t>
          </w:r>
        </w:sdtContent>
      </w:sdt>
      <w:r>
        <w:rPr>
          <w:b w:val="0"/>
          <w:bCs w:val="0"/>
          <w:color w:val="0000FF"/>
          <w:sz w:val="20"/>
          <w:szCs w:val="20"/>
          <w:highlight w:val="yellow"/>
        </w:rPr>
        <w:t xml:space="preserve"> </w:t>
      </w:r>
      <w:r>
        <w:rPr>
          <w:b/>
          <w:bCs/>
          <w:color w:val="0000FF"/>
          <w:sz w:val="20"/>
          <w:szCs w:val="20"/>
          <w:highlight w:val="yellow"/>
        </w:rPr>
        <w:t>Un prix global et forfaitaire</w:t>
      </w:r>
      <w:r>
        <w:rPr>
          <w:rFonts w:hint="default"/>
          <w:b/>
          <w:bCs/>
          <w:color w:val="0000FF"/>
          <w:sz w:val="20"/>
          <w:szCs w:val="20"/>
          <w:highlight w:val="yellow"/>
          <w:lang w:val="fr-FR"/>
        </w:rPr>
        <w:t>.</w:t>
      </w:r>
    </w:p>
    <w:p w14:paraId="252F3DF4">
      <w:pPr>
        <w:rPr>
          <w:rFonts w:hint="default"/>
          <w:b w:val="0"/>
          <w:bCs/>
          <w:sz w:val="20"/>
          <w:szCs w:val="20"/>
          <w:highlight w:val="none"/>
          <w:lang w:val="fr-FR"/>
        </w:rPr>
      </w:pPr>
      <w:sdt>
        <w:sdtPr>
          <w:rPr>
            <w:rStyle w:val="15"/>
            <w:b w:val="0"/>
            <w:bCs/>
            <w:sz w:val="20"/>
            <w:szCs w:val="20"/>
          </w:rPr>
          <w:id w:val="1457294357"/>
          <w14:checkbox>
            <w14:checked w14:val="0"/>
            <w14:checkedState w14:val="2612" w14:font="MS Gothic"/>
            <w14:uncheckedState w14:val="2610" w14:font="MS Gothic"/>
          </w14:checkbox>
        </w:sdtPr>
        <w:sdtEndPr>
          <w:rPr>
            <w:rStyle w:val="15"/>
            <w:b/>
            <w:bCs w:val="0"/>
            <w:sz w:val="20"/>
            <w:szCs w:val="20"/>
            <w:highlight w:val="none"/>
          </w:rPr>
        </w:sdtEndPr>
        <w:sdtContent>
          <w:r>
            <w:rPr>
              <w:rFonts w:hint="eastAsia" w:ascii="MS Gothic" w:hAnsi="MS Gothic" w:eastAsia="MS Gothic" w:cstheme="minorBidi"/>
              <w:b w:val="0"/>
              <w:bCs/>
              <w:iCs/>
              <w:color w:val="000000" w:themeColor="text1"/>
              <w:sz w:val="20"/>
              <w:szCs w:val="20"/>
              <w:highlight w:val="none"/>
              <w:lang w:val="fr-FR" w:eastAsia="en-US" w:bidi="ar-SA"/>
              <w14:textFill>
                <w14:solidFill>
                  <w14:schemeClr w14:val="tx1"/>
                </w14:solidFill>
              </w14:textFill>
            </w:rPr>
            <w:t>☐</w:t>
          </w:r>
        </w:sdtContent>
      </w:sdt>
      <w:r>
        <w:rPr>
          <w:rStyle w:val="15"/>
          <w:b/>
          <w:bCs w:val="0"/>
          <w:sz w:val="20"/>
          <w:szCs w:val="20"/>
          <w:highlight w:val="none"/>
        </w:rPr>
        <w:t xml:space="preserve"> </w:t>
      </w:r>
      <w:r>
        <w:rPr>
          <w:rStyle w:val="15"/>
          <w:rFonts w:hint="default"/>
          <w:b w:val="0"/>
          <w:bCs/>
          <w:sz w:val="20"/>
          <w:szCs w:val="20"/>
          <w:highlight w:val="none"/>
          <w:lang w:val="fr-FR"/>
        </w:rPr>
        <w:t xml:space="preserve">Un prix </w:t>
      </w:r>
      <w:r>
        <w:rPr>
          <w:b w:val="0"/>
          <w:bCs/>
          <w:sz w:val="20"/>
          <w:szCs w:val="20"/>
          <w:highlight w:val="none"/>
        </w:rPr>
        <w:t>unitaire </w:t>
      </w:r>
      <w:r>
        <w:rPr>
          <w:rFonts w:hint="default"/>
          <w:b w:val="0"/>
          <w:bCs/>
          <w:sz w:val="20"/>
          <w:szCs w:val="20"/>
          <w:highlight w:val="none"/>
          <w:lang w:val="fr-FR"/>
        </w:rPr>
        <w:t>p</w:t>
      </w:r>
      <w:r>
        <w:rPr>
          <w:b w:val="0"/>
          <w:bCs/>
          <w:sz w:val="20"/>
          <w:szCs w:val="20"/>
          <w:highlight w:val="none"/>
        </w:rPr>
        <w:t xml:space="preserve">ar </w:t>
      </w:r>
      <w:r>
        <w:rPr>
          <w:rFonts w:hint="default"/>
          <w:b w:val="0"/>
          <w:bCs/>
          <w:sz w:val="20"/>
          <w:szCs w:val="20"/>
          <w:highlight w:val="none"/>
          <w:lang w:val="fr-FR"/>
        </w:rPr>
        <w:t>session.</w:t>
      </w:r>
    </w:p>
    <w:p w14:paraId="7D955ABF">
      <w:pPr>
        <w:rPr>
          <w:sz w:val="20"/>
          <w:szCs w:val="20"/>
        </w:rPr>
      </w:pPr>
      <w:r>
        <w:rPr>
          <w:sz w:val="20"/>
          <w:szCs w:val="20"/>
        </w:rPr>
        <w:t>Le prix est ferme. Il est indiqué dans l’annexe financière.</w:t>
      </w:r>
    </w:p>
    <w:p w14:paraId="25F2D71F">
      <w:pPr>
        <w:pStyle w:val="67"/>
        <w:rPr>
          <w:sz w:val="20"/>
          <w:szCs w:val="20"/>
        </w:rPr>
      </w:pPr>
      <w:r>
        <w:rPr>
          <w:sz w:val="20"/>
          <w:szCs w:val="20"/>
        </w:rPr>
        <w:t>Facturation et paiement</w:t>
      </w:r>
    </w:p>
    <w:p w14:paraId="3A521266">
      <w:pPr>
        <w:pStyle w:val="4"/>
        <w:spacing w:after="120"/>
        <w:rPr>
          <w:sz w:val="20"/>
          <w:szCs w:val="20"/>
        </w:rPr>
      </w:pPr>
      <w:r>
        <w:rPr>
          <w:sz w:val="20"/>
          <w:szCs w:val="20"/>
        </w:rPr>
        <w:t>Émission des factures</w:t>
      </w:r>
    </w:p>
    <w:p w14:paraId="09A47A50">
      <w:pPr>
        <w:rPr>
          <w:sz w:val="20"/>
          <w:szCs w:val="20"/>
        </w:rPr>
      </w:pPr>
      <w:r>
        <w:rPr>
          <w:sz w:val="20"/>
          <w:szCs w:val="20"/>
        </w:rPr>
        <w:t>Le titulaire est rémunéré après constatation du service fait.</w:t>
      </w:r>
    </w:p>
    <w:p w14:paraId="040EF917">
      <w:pPr>
        <w:rPr>
          <w:sz w:val="20"/>
          <w:szCs w:val="20"/>
        </w:rPr>
      </w:pPr>
      <w:r>
        <w:rPr>
          <w:sz w:val="20"/>
          <w:szCs w:val="20"/>
        </w:rPr>
        <w:t>Les factures sont émises à l’issue d’une prestation ou de l’exécution totale d’un bon de commande, et après réception par l’IGN de l’attestation de formation.</w:t>
      </w:r>
    </w:p>
    <w:p w14:paraId="0E3F6AB7">
      <w:pPr>
        <w:rPr>
          <w:sz w:val="20"/>
          <w:szCs w:val="20"/>
        </w:rPr>
      </w:pPr>
      <w:r>
        <w:rPr>
          <w:sz w:val="20"/>
          <w:szCs w:val="20"/>
        </w:rPr>
        <w:t>Les factures portent, outre les mentions légales, les indications suivantes</w:t>
      </w:r>
      <w:r>
        <w:rPr>
          <w:rFonts w:ascii="Calibri" w:hAnsi="Calibri" w:cs="Calibri"/>
          <w:sz w:val="20"/>
          <w:szCs w:val="20"/>
        </w:rPr>
        <w:t> </w:t>
      </w:r>
      <w:r>
        <w:rPr>
          <w:sz w:val="20"/>
          <w:szCs w:val="20"/>
        </w:rPr>
        <w:t>:</w:t>
      </w:r>
    </w:p>
    <w:p w14:paraId="01F4969F">
      <w:pPr>
        <w:pStyle w:val="31"/>
        <w:rPr>
          <w:sz w:val="20"/>
          <w:szCs w:val="20"/>
        </w:rPr>
      </w:pPr>
      <w:r>
        <w:rPr>
          <w:sz w:val="20"/>
          <w:szCs w:val="20"/>
        </w:rPr>
        <w:t>Le numéro SIRET de l’IGN : 180</w:t>
      </w:r>
      <w:r>
        <w:rPr>
          <w:rFonts w:ascii="Calibri" w:hAnsi="Calibri" w:cs="Calibri"/>
          <w:sz w:val="20"/>
          <w:szCs w:val="20"/>
        </w:rPr>
        <w:t> </w:t>
      </w:r>
      <w:r>
        <w:rPr>
          <w:sz w:val="20"/>
          <w:szCs w:val="20"/>
        </w:rPr>
        <w:t>067</w:t>
      </w:r>
      <w:r>
        <w:rPr>
          <w:rFonts w:ascii="Calibri" w:hAnsi="Calibri" w:cs="Calibri"/>
          <w:sz w:val="20"/>
          <w:szCs w:val="20"/>
        </w:rPr>
        <w:t> </w:t>
      </w:r>
      <w:r>
        <w:rPr>
          <w:sz w:val="20"/>
          <w:szCs w:val="20"/>
        </w:rPr>
        <w:t>019 00430</w:t>
      </w:r>
      <w:r>
        <w:rPr>
          <w:rFonts w:ascii="Calibri" w:hAnsi="Calibri" w:cs="Calibri"/>
          <w:sz w:val="20"/>
          <w:szCs w:val="20"/>
        </w:rPr>
        <w:t> </w:t>
      </w:r>
      <w:r>
        <w:rPr>
          <w:sz w:val="20"/>
          <w:szCs w:val="20"/>
        </w:rPr>
        <w:t>;</w:t>
      </w:r>
    </w:p>
    <w:p w14:paraId="2CB3D250">
      <w:pPr>
        <w:pStyle w:val="31"/>
        <w:rPr>
          <w:sz w:val="20"/>
          <w:szCs w:val="20"/>
        </w:rPr>
      </w:pPr>
      <w:r>
        <w:rPr>
          <w:sz w:val="20"/>
          <w:szCs w:val="20"/>
        </w:rPr>
        <w:t>Le cas échéant, le numéro du bon de commande (engagement)</w:t>
      </w:r>
      <w:r>
        <w:rPr>
          <w:rFonts w:ascii="Calibri" w:hAnsi="Calibri" w:cs="Calibri"/>
          <w:sz w:val="20"/>
          <w:szCs w:val="20"/>
        </w:rPr>
        <w:t> </w:t>
      </w:r>
      <w:r>
        <w:rPr>
          <w:sz w:val="20"/>
          <w:szCs w:val="20"/>
        </w:rPr>
        <w:t>;</w:t>
      </w:r>
    </w:p>
    <w:p w14:paraId="60A81DA0">
      <w:pPr>
        <w:pStyle w:val="31"/>
        <w:rPr>
          <w:sz w:val="20"/>
          <w:szCs w:val="20"/>
        </w:rPr>
      </w:pPr>
      <w:r>
        <w:rPr>
          <w:sz w:val="20"/>
          <w:szCs w:val="20"/>
        </w:rPr>
        <w:t>La référence du service prescripteur de l’IGN</w:t>
      </w:r>
      <w:r>
        <w:rPr>
          <w:rFonts w:ascii="Calibri" w:hAnsi="Calibri" w:cs="Calibri"/>
          <w:sz w:val="20"/>
          <w:szCs w:val="20"/>
        </w:rPr>
        <w:t> </w:t>
      </w:r>
      <w:r>
        <w:rPr>
          <w:sz w:val="20"/>
          <w:szCs w:val="20"/>
        </w:rPr>
        <w:t>: Département GPEEC Formation ;</w:t>
      </w:r>
    </w:p>
    <w:p w14:paraId="2092279B">
      <w:pPr>
        <w:pStyle w:val="31"/>
        <w:rPr>
          <w:sz w:val="20"/>
          <w:szCs w:val="20"/>
        </w:rPr>
      </w:pPr>
      <w:r>
        <w:rPr>
          <w:sz w:val="20"/>
          <w:szCs w:val="20"/>
        </w:rPr>
        <w:t>La date d'émission de la facture</w:t>
      </w:r>
      <w:r>
        <w:rPr>
          <w:rFonts w:ascii="Calibri" w:hAnsi="Calibri" w:cs="Calibri"/>
          <w:sz w:val="20"/>
          <w:szCs w:val="20"/>
        </w:rPr>
        <w:t> </w:t>
      </w:r>
      <w:r>
        <w:rPr>
          <w:sz w:val="20"/>
          <w:szCs w:val="20"/>
        </w:rPr>
        <w:t>;</w:t>
      </w:r>
    </w:p>
    <w:p w14:paraId="4F14D46F">
      <w:pPr>
        <w:pStyle w:val="31"/>
        <w:rPr>
          <w:sz w:val="20"/>
          <w:szCs w:val="20"/>
        </w:rPr>
      </w:pPr>
      <w:r>
        <w:rPr>
          <w:sz w:val="20"/>
          <w:szCs w:val="20"/>
        </w:rPr>
        <w:t>Les coordonnées bancaires du titulaire</w:t>
      </w:r>
      <w:r>
        <w:rPr>
          <w:rFonts w:ascii="Calibri" w:hAnsi="Calibri" w:cs="Calibri"/>
          <w:sz w:val="20"/>
          <w:szCs w:val="20"/>
        </w:rPr>
        <w:t> </w:t>
      </w:r>
      <w:r>
        <w:rPr>
          <w:sz w:val="20"/>
          <w:szCs w:val="20"/>
        </w:rPr>
        <w:t>;</w:t>
      </w:r>
    </w:p>
    <w:p w14:paraId="6B6C53E2">
      <w:pPr>
        <w:pStyle w:val="31"/>
        <w:rPr>
          <w:sz w:val="20"/>
          <w:szCs w:val="20"/>
        </w:rPr>
      </w:pPr>
      <w:r>
        <w:rPr>
          <w:sz w:val="20"/>
          <w:szCs w:val="20"/>
        </w:rPr>
        <w:t>Le détail des prestations exécutées</w:t>
      </w:r>
      <w:r>
        <w:rPr>
          <w:rFonts w:ascii="Calibri" w:hAnsi="Calibri" w:cs="Calibri"/>
          <w:sz w:val="20"/>
          <w:szCs w:val="20"/>
        </w:rPr>
        <w:t> </w:t>
      </w:r>
      <w:r>
        <w:rPr>
          <w:sz w:val="20"/>
          <w:szCs w:val="20"/>
        </w:rPr>
        <w:t>;</w:t>
      </w:r>
    </w:p>
    <w:p w14:paraId="7EB82D36">
      <w:pPr>
        <w:pStyle w:val="31"/>
        <w:rPr>
          <w:sz w:val="20"/>
          <w:szCs w:val="20"/>
        </w:rPr>
      </w:pPr>
      <w:r>
        <w:rPr>
          <w:sz w:val="20"/>
          <w:szCs w:val="20"/>
        </w:rPr>
        <w:t>Le montant hors taxes</w:t>
      </w:r>
      <w:r>
        <w:rPr>
          <w:rFonts w:ascii="Calibri" w:hAnsi="Calibri" w:cs="Calibri"/>
          <w:sz w:val="20"/>
          <w:szCs w:val="20"/>
        </w:rPr>
        <w:t> </w:t>
      </w:r>
      <w:r>
        <w:rPr>
          <w:sz w:val="20"/>
          <w:szCs w:val="20"/>
        </w:rPr>
        <w:t>;</w:t>
      </w:r>
    </w:p>
    <w:p w14:paraId="1CBF7B77">
      <w:pPr>
        <w:pStyle w:val="31"/>
        <w:rPr>
          <w:sz w:val="20"/>
          <w:szCs w:val="20"/>
        </w:rPr>
      </w:pPr>
      <w:r>
        <w:rPr>
          <w:sz w:val="20"/>
          <w:szCs w:val="20"/>
        </w:rPr>
        <w:t>Le montant et le taux de la TVA</w:t>
      </w:r>
      <w:r>
        <w:rPr>
          <w:rFonts w:ascii="Calibri" w:hAnsi="Calibri" w:cs="Calibri"/>
          <w:sz w:val="20"/>
          <w:szCs w:val="20"/>
        </w:rPr>
        <w:t> </w:t>
      </w:r>
      <w:r>
        <w:rPr>
          <w:sz w:val="20"/>
          <w:szCs w:val="20"/>
        </w:rPr>
        <w:t>;</w:t>
      </w:r>
    </w:p>
    <w:p w14:paraId="1B0848B1">
      <w:pPr>
        <w:pStyle w:val="31"/>
        <w:rPr>
          <w:sz w:val="20"/>
          <w:szCs w:val="20"/>
        </w:rPr>
      </w:pPr>
      <w:r>
        <w:rPr>
          <w:sz w:val="20"/>
          <w:szCs w:val="20"/>
        </w:rPr>
        <w:t>Le montant total toutes taxes comprises</w:t>
      </w:r>
      <w:r>
        <w:rPr>
          <w:rFonts w:ascii="Calibri" w:hAnsi="Calibri" w:cs="Calibri"/>
          <w:sz w:val="20"/>
          <w:szCs w:val="20"/>
        </w:rPr>
        <w:t> </w:t>
      </w:r>
      <w:r>
        <w:rPr>
          <w:sz w:val="20"/>
          <w:szCs w:val="20"/>
        </w:rPr>
        <w:t>;</w:t>
      </w:r>
    </w:p>
    <w:p w14:paraId="72CE5B42">
      <w:pPr>
        <w:pStyle w:val="31"/>
        <w:rPr>
          <w:sz w:val="20"/>
          <w:szCs w:val="20"/>
        </w:rPr>
      </w:pPr>
      <w:r>
        <w:rPr>
          <w:sz w:val="20"/>
          <w:szCs w:val="20"/>
        </w:rPr>
        <w:t>Le numéro de TVA intracommunautaire du titulaire.</w:t>
      </w:r>
    </w:p>
    <w:p w14:paraId="6134C157">
      <w:pPr>
        <w:pStyle w:val="4"/>
        <w:spacing w:after="120"/>
        <w:rPr>
          <w:sz w:val="20"/>
          <w:szCs w:val="20"/>
        </w:rPr>
      </w:pPr>
      <w:r>
        <w:rPr>
          <w:sz w:val="20"/>
          <w:szCs w:val="20"/>
        </w:rPr>
        <w:t>Dépôt de la facture sur Chorus Pro</w:t>
      </w:r>
    </w:p>
    <w:p w14:paraId="103F5A28">
      <w:pPr>
        <w:rPr>
          <w:sz w:val="20"/>
          <w:szCs w:val="20"/>
        </w:rPr>
      </w:pPr>
      <w:r>
        <w:rPr>
          <w:sz w:val="20"/>
          <w:szCs w:val="20"/>
        </w:rPr>
        <w:t>Les factures doivent être déposées sur le portail Chorus Pro.</w:t>
      </w:r>
    </w:p>
    <w:p w14:paraId="02A0AAAC">
      <w:pPr>
        <w:rPr>
          <w:sz w:val="20"/>
          <w:szCs w:val="20"/>
        </w:rPr>
      </w:pPr>
      <w:r>
        <w:rPr>
          <w:sz w:val="20"/>
          <w:szCs w:val="20"/>
        </w:rPr>
        <w:t>Une documentation relative au fonctionnement de la plateforme Chorus Pro est consultable à l’adresse suivante :</w:t>
      </w:r>
    </w:p>
    <w:p w14:paraId="68C03930">
      <w:pPr>
        <w:rPr>
          <w:sz w:val="20"/>
          <w:szCs w:val="20"/>
        </w:rPr>
      </w:pPr>
      <w:r>
        <w:fldChar w:fldCharType="begin"/>
      </w:r>
      <w:r>
        <w:instrText xml:space="preserve"> HYPERLINK "https://communaute.chorus-pro.gouv.fr/emetteur-de-factures-electroniques/" </w:instrText>
      </w:r>
      <w:r>
        <w:fldChar w:fldCharType="separate"/>
      </w:r>
      <w:r>
        <w:rPr>
          <w:rStyle w:val="12"/>
          <w:sz w:val="20"/>
          <w:szCs w:val="20"/>
        </w:rPr>
        <w:t>https://communaute.chorus-pro.gouv.fr/emetteur-de-factures-electroniques/</w:t>
      </w:r>
      <w:r>
        <w:rPr>
          <w:rStyle w:val="12"/>
          <w:sz w:val="20"/>
          <w:szCs w:val="20"/>
        </w:rPr>
        <w:fldChar w:fldCharType="end"/>
      </w:r>
    </w:p>
    <w:p w14:paraId="1EB53D57">
      <w:pPr>
        <w:rPr>
          <w:sz w:val="20"/>
          <w:szCs w:val="20"/>
        </w:rPr>
      </w:pPr>
      <w:r>
        <w:rPr>
          <w:sz w:val="20"/>
          <w:szCs w:val="20"/>
        </w:rPr>
        <w:t>Il est précisé que l’IGN n’utilise pas de n° service exécutant dans Chorus Pro.</w:t>
      </w:r>
    </w:p>
    <w:p w14:paraId="4B8CF285">
      <w:pPr>
        <w:pStyle w:val="67"/>
        <w:rPr>
          <w:sz w:val="20"/>
          <w:szCs w:val="20"/>
        </w:rPr>
      </w:pPr>
      <w:r>
        <w:rPr>
          <w:sz w:val="20"/>
          <w:szCs w:val="20"/>
        </w:rPr>
        <w:t>Toute question relative à la facturation ou au paiement doit être adressée au service facturier de l’Agence comptable de l’IGN</w:t>
      </w:r>
      <w:r>
        <w:rPr>
          <w:rFonts w:ascii="Calibri" w:hAnsi="Calibri" w:cs="Calibri"/>
          <w:sz w:val="20"/>
          <w:szCs w:val="20"/>
        </w:rPr>
        <w:t> </w:t>
      </w:r>
      <w:r>
        <w:rPr>
          <w:sz w:val="20"/>
          <w:szCs w:val="20"/>
        </w:rPr>
        <w:t>:</w:t>
      </w:r>
    </w:p>
    <w:p w14:paraId="4C94C29A">
      <w:pPr>
        <w:pStyle w:val="31"/>
        <w:rPr>
          <w:sz w:val="20"/>
          <w:szCs w:val="20"/>
        </w:rPr>
      </w:pPr>
      <w:r>
        <w:rPr>
          <w:sz w:val="20"/>
          <w:szCs w:val="20"/>
        </w:rPr>
        <w:t>Tél.</w:t>
      </w:r>
      <w:r>
        <w:rPr>
          <w:rFonts w:ascii="Calibri" w:hAnsi="Calibri" w:cs="Calibri"/>
          <w:sz w:val="20"/>
          <w:szCs w:val="20"/>
        </w:rPr>
        <w:t> </w:t>
      </w:r>
      <w:r>
        <w:rPr>
          <w:sz w:val="20"/>
          <w:szCs w:val="20"/>
        </w:rPr>
        <w:t>: 01 43 98 83 11</w:t>
      </w:r>
    </w:p>
    <w:p w14:paraId="5B363F23">
      <w:pPr>
        <w:pStyle w:val="31"/>
        <w:rPr>
          <w:sz w:val="20"/>
          <w:szCs w:val="20"/>
        </w:rPr>
      </w:pPr>
      <w:r>
        <w:rPr>
          <w:sz w:val="20"/>
          <w:szCs w:val="20"/>
        </w:rPr>
        <w:t xml:space="preserve">Courriel : </w:t>
      </w:r>
      <w:r>
        <w:fldChar w:fldCharType="begin"/>
      </w:r>
      <w:r>
        <w:instrText xml:space="preserve"> HYPERLINK "mailto:service.facturier@ign.fr" </w:instrText>
      </w:r>
      <w:r>
        <w:fldChar w:fldCharType="separate"/>
      </w:r>
      <w:r>
        <w:rPr>
          <w:rStyle w:val="12"/>
          <w:sz w:val="20"/>
          <w:szCs w:val="20"/>
        </w:rPr>
        <w:t>service.facturier@ign.fr</w:t>
      </w:r>
      <w:r>
        <w:rPr>
          <w:rStyle w:val="12"/>
          <w:sz w:val="20"/>
          <w:szCs w:val="20"/>
        </w:rPr>
        <w:fldChar w:fldCharType="end"/>
      </w:r>
    </w:p>
    <w:p w14:paraId="3F1BE0F3">
      <w:pPr>
        <w:pStyle w:val="4"/>
        <w:spacing w:after="120"/>
        <w:rPr>
          <w:sz w:val="20"/>
          <w:szCs w:val="20"/>
        </w:rPr>
      </w:pPr>
      <w:r>
        <w:rPr>
          <w:sz w:val="20"/>
          <w:szCs w:val="20"/>
        </w:rPr>
        <w:t>Modalités de paiement</w:t>
      </w:r>
    </w:p>
    <w:p w14:paraId="2B91AD42">
      <w:pPr>
        <w:rPr>
          <w:sz w:val="20"/>
          <w:szCs w:val="20"/>
        </w:rPr>
      </w:pPr>
      <w:r>
        <w:rPr>
          <w:sz w:val="20"/>
          <w:szCs w:val="20"/>
        </w:rPr>
        <w:t>Les paiements s’effectuent par virement administratif dans un délai global maximal de trente jours à compter de la date de réception de la demande de paiement par le pouvoir adjudicateur.</w:t>
      </w:r>
    </w:p>
    <w:p w14:paraId="0EB094CC">
      <w:pPr>
        <w:rPr>
          <w:sz w:val="20"/>
          <w:szCs w:val="20"/>
        </w:rPr>
      </w:pPr>
      <w:r>
        <w:rPr>
          <w:sz w:val="20"/>
          <w:szCs w:val="20"/>
        </w:rPr>
        <w:t xml:space="preserve">Le défaut de paiement dans le délai prévu ci-dessus fait courir de plein droit des intérêts moratoires au bénéfice du titulaire. </w:t>
      </w:r>
    </w:p>
    <w:p w14:paraId="21FA3E70">
      <w:pPr>
        <w:rPr>
          <w:sz w:val="20"/>
          <w:szCs w:val="20"/>
        </w:rPr>
      </w:pPr>
      <w:r>
        <w:rPr>
          <w:sz w:val="20"/>
          <w:szCs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C259E5F">
      <w:pPr>
        <w:rPr>
          <w:sz w:val="20"/>
          <w:szCs w:val="20"/>
        </w:rPr>
      </w:pPr>
      <w:r>
        <w:rPr>
          <w:sz w:val="20"/>
          <w:szCs w:val="20"/>
        </w:rPr>
        <w:t>Le montant de l'indemnité forfaitaire pour frais de recouvrement est fixé à 40</w:t>
      </w:r>
      <w:r>
        <w:rPr>
          <w:rFonts w:ascii="Calibri" w:hAnsi="Calibri" w:cs="Calibri"/>
          <w:sz w:val="20"/>
          <w:szCs w:val="20"/>
        </w:rPr>
        <w:t> </w:t>
      </w:r>
      <w:r>
        <w:rPr>
          <w:sz w:val="20"/>
          <w:szCs w:val="20"/>
        </w:rPr>
        <w:t>euros.</w:t>
      </w:r>
    </w:p>
    <w:p w14:paraId="02BA6FD8">
      <w:pPr>
        <w:pStyle w:val="3"/>
        <w:ind w:left="796" w:leftChars="0" w:firstLineChars="0"/>
        <w:rPr>
          <w:sz w:val="20"/>
          <w:szCs w:val="20"/>
        </w:rPr>
      </w:pPr>
      <w:bookmarkStart w:id="8" w:name="_Toc179907283"/>
      <w:bookmarkStart w:id="9" w:name="_Toc179907237"/>
      <w:bookmarkStart w:id="10" w:name="_Toc180141402"/>
      <w:bookmarkStart w:id="11" w:name="_Toc179907579"/>
      <w:bookmarkStart w:id="12" w:name="_Hlk180492133"/>
      <w:r>
        <w:rPr>
          <w:sz w:val="20"/>
          <w:szCs w:val="20"/>
        </w:rPr>
        <w:t>Loi applicable – Tribunal compétent</w:t>
      </w:r>
      <w:bookmarkEnd w:id="8"/>
      <w:bookmarkEnd w:id="9"/>
      <w:bookmarkEnd w:id="10"/>
      <w:bookmarkEnd w:id="11"/>
    </w:p>
    <w:p w14:paraId="45616ED6">
      <w:pPr>
        <w:tabs>
          <w:tab w:val="left" w:pos="5706"/>
        </w:tabs>
        <w:rPr>
          <w:sz w:val="20"/>
          <w:szCs w:val="20"/>
        </w:rPr>
      </w:pPr>
      <w:r>
        <w:rPr>
          <w:sz w:val="20"/>
          <w:szCs w:val="20"/>
        </w:rPr>
        <w:t>La loi française est seule applicable au présent marché.</w:t>
      </w:r>
    </w:p>
    <w:p w14:paraId="45E5D884">
      <w:pPr>
        <w:pStyle w:val="67"/>
        <w:rPr>
          <w:sz w:val="20"/>
          <w:szCs w:val="20"/>
        </w:rPr>
      </w:pPr>
      <w:r>
        <w:rPr>
          <w:sz w:val="20"/>
          <w:szCs w:val="20"/>
        </w:rPr>
        <w:t>En cas de litige, le tribunal compétent est le suivant</w:t>
      </w:r>
      <w:r>
        <w:rPr>
          <w:rFonts w:ascii="Calibri" w:hAnsi="Calibri" w:cs="Calibri"/>
          <w:sz w:val="20"/>
          <w:szCs w:val="20"/>
        </w:rPr>
        <w:t> </w:t>
      </w:r>
      <w:r>
        <w:rPr>
          <w:sz w:val="20"/>
          <w:szCs w:val="20"/>
        </w:rPr>
        <w:t>:</w:t>
      </w:r>
    </w:p>
    <w:p w14:paraId="1DB02974">
      <w:pPr>
        <w:pBdr>
          <w:top w:val="single" w:color="auto" w:sz="4" w:space="1"/>
          <w:left w:val="single" w:color="auto" w:sz="4" w:space="4"/>
          <w:bottom w:val="single" w:color="auto" w:sz="4" w:space="1"/>
          <w:right w:val="single" w:color="auto" w:sz="4" w:space="4"/>
        </w:pBdr>
        <w:tabs>
          <w:tab w:val="left" w:pos="5706"/>
        </w:tabs>
        <w:jc w:val="center"/>
        <w:rPr>
          <w:rStyle w:val="15"/>
          <w:sz w:val="20"/>
          <w:szCs w:val="20"/>
        </w:rPr>
      </w:pPr>
      <w:r>
        <w:rPr>
          <w:rStyle w:val="15"/>
          <w:sz w:val="20"/>
          <w:szCs w:val="20"/>
        </w:rPr>
        <w:t>TRIBUNAL ADMINISTRATIF DE PARIS</w:t>
      </w:r>
    </w:p>
    <w:p w14:paraId="0A331764">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7, rue de Jouy</w:t>
      </w:r>
    </w:p>
    <w:p w14:paraId="65151F68">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75181 PARIS CEDEX 04</w:t>
      </w:r>
    </w:p>
    <w:p w14:paraId="7662CEF1">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Téléphone : 01 44 59 44 00</w:t>
      </w:r>
    </w:p>
    <w:p w14:paraId="47A9DE8C">
      <w:pPr>
        <w:pBdr>
          <w:top w:val="single" w:color="auto" w:sz="4" w:space="1"/>
          <w:left w:val="single" w:color="auto" w:sz="4" w:space="4"/>
          <w:bottom w:val="single" w:color="auto" w:sz="4" w:space="1"/>
          <w:right w:val="single" w:color="auto" w:sz="4" w:space="4"/>
        </w:pBdr>
        <w:tabs>
          <w:tab w:val="left" w:pos="5706"/>
        </w:tabs>
        <w:jc w:val="center"/>
        <w:rPr>
          <w:sz w:val="20"/>
          <w:szCs w:val="20"/>
        </w:rPr>
      </w:pPr>
      <w:r>
        <w:rPr>
          <w:sz w:val="20"/>
          <w:szCs w:val="20"/>
        </w:rPr>
        <w:t xml:space="preserve">Courriel : </w:t>
      </w:r>
      <w:r>
        <w:fldChar w:fldCharType="begin"/>
      </w:r>
      <w:r>
        <w:instrText xml:space="preserve"> HYPERLINK "mailto:greffe.ta-paris@juradm.fr" </w:instrText>
      </w:r>
      <w:r>
        <w:fldChar w:fldCharType="separate"/>
      </w:r>
      <w:r>
        <w:rPr>
          <w:rStyle w:val="12"/>
          <w:sz w:val="20"/>
          <w:szCs w:val="20"/>
        </w:rPr>
        <w:t>greffe.ta-paris@juradm.fr</w:t>
      </w:r>
      <w:r>
        <w:rPr>
          <w:rStyle w:val="12"/>
          <w:sz w:val="20"/>
          <w:szCs w:val="20"/>
        </w:rPr>
        <w:fldChar w:fldCharType="end"/>
      </w:r>
    </w:p>
    <w:p w14:paraId="5ACB8962">
      <w:pPr>
        <w:pBdr>
          <w:top w:val="single" w:color="auto" w:sz="4" w:space="1"/>
          <w:left w:val="single" w:color="auto" w:sz="4" w:space="4"/>
          <w:bottom w:val="single" w:color="auto" w:sz="4" w:space="1"/>
          <w:right w:val="single" w:color="auto" w:sz="4" w:space="4"/>
        </w:pBdr>
        <w:tabs>
          <w:tab w:val="left" w:pos="5706"/>
        </w:tabs>
        <w:jc w:val="center"/>
        <w:rPr>
          <w:sz w:val="20"/>
          <w:szCs w:val="20"/>
        </w:rPr>
      </w:pPr>
      <w:r>
        <w:rPr>
          <w:sz w:val="20"/>
          <w:szCs w:val="20"/>
        </w:rPr>
        <w:t xml:space="preserve">Site internet : </w:t>
      </w:r>
      <w:r>
        <w:fldChar w:fldCharType="begin"/>
      </w:r>
      <w:r>
        <w:instrText xml:space="preserve"> HYPERLINK "https://paris.tribunal-administratif.fr/" </w:instrText>
      </w:r>
      <w:r>
        <w:fldChar w:fldCharType="separate"/>
      </w:r>
      <w:r>
        <w:rPr>
          <w:rStyle w:val="12"/>
          <w:sz w:val="20"/>
          <w:szCs w:val="20"/>
        </w:rPr>
        <w:t>https://paris.tribunal-administratif.fr/</w:t>
      </w:r>
      <w:r>
        <w:rPr>
          <w:rStyle w:val="12"/>
          <w:sz w:val="20"/>
          <w:szCs w:val="20"/>
        </w:rPr>
        <w:fldChar w:fldCharType="end"/>
      </w:r>
      <w:bookmarkEnd w:id="12"/>
    </w:p>
    <w:p w14:paraId="0AECA584">
      <w:pPr>
        <w:rPr>
          <w:sz w:val="20"/>
          <w:szCs w:val="20"/>
        </w:rPr>
      </w:pPr>
    </w:p>
    <w:p w14:paraId="685A9A40">
      <w:pPr>
        <w:spacing w:before="0" w:after="200" w:line="276" w:lineRule="auto"/>
        <w:jc w:val="left"/>
        <w:rPr>
          <w:rFonts w:eastAsiaTheme="majorEastAsia" w:cstheme="majorHAnsi"/>
          <w:b/>
          <w:bCs/>
          <w:sz w:val="20"/>
          <w:szCs w:val="20"/>
        </w:rPr>
      </w:pPr>
      <w:r>
        <w:rPr>
          <w:sz w:val="20"/>
          <w:szCs w:val="20"/>
        </w:rPr>
        <w:br w:type="page"/>
      </w:r>
    </w:p>
    <w:p w14:paraId="7DDDA774">
      <w:pPr>
        <w:pStyle w:val="2"/>
        <w:rPr>
          <w:sz w:val="20"/>
          <w:szCs w:val="20"/>
        </w:rPr>
      </w:pPr>
      <w:r>
        <w:rPr>
          <w:sz w:val="20"/>
          <w:szCs w:val="20"/>
        </w:rPr>
        <w:t>SIGNATURES</w:t>
      </w:r>
    </w:p>
    <w:p w14:paraId="7CB161CF">
      <w:pPr>
        <w:pStyle w:val="3"/>
        <w:ind w:left="796" w:leftChars="0" w:firstLineChars="0"/>
        <w:rPr>
          <w:sz w:val="20"/>
          <w:szCs w:val="20"/>
        </w:rPr>
      </w:pPr>
      <w:r>
        <w:rPr>
          <w:sz w:val="20"/>
          <w:szCs w:val="20"/>
        </w:rPr>
        <w:t>Signature du titulaire</w:t>
      </w:r>
    </w:p>
    <w:tbl>
      <w:tblPr>
        <w:tblStyle w:val="35"/>
        <w:tblW w:w="5000" w:type="pct"/>
        <w:tblInd w:w="0" w:type="dxa"/>
        <w:tblLayout w:type="autofit"/>
        <w:tblCellMar>
          <w:top w:w="0" w:type="dxa"/>
          <w:left w:w="108" w:type="dxa"/>
          <w:bottom w:w="0" w:type="dxa"/>
          <w:right w:w="108" w:type="dxa"/>
        </w:tblCellMar>
      </w:tblPr>
      <w:tblGrid>
        <w:gridCol w:w="3096"/>
        <w:gridCol w:w="3096"/>
        <w:gridCol w:w="3094"/>
      </w:tblGrid>
      <w:tr w14:paraId="326C719D">
        <w:tblPrEx>
          <w:tblCellMar>
            <w:top w:w="0" w:type="dxa"/>
            <w:left w:w="108" w:type="dxa"/>
            <w:bottom w:w="0" w:type="dxa"/>
            <w:right w:w="108" w:type="dxa"/>
          </w:tblCellMar>
        </w:tblPrEx>
        <w:tc>
          <w:tcPr>
            <w:tcW w:w="1667" w:type="pct"/>
            <w:tcBorders>
              <w:top w:val="single" w:color="000000" w:sz="4" w:space="0"/>
              <w:left w:val="single" w:color="000000" w:sz="4" w:space="0"/>
              <w:bottom w:val="single" w:color="auto" w:sz="12" w:space="0"/>
            </w:tcBorders>
            <w:shd w:val="clear" w:color="auto" w:fill="C2E0EB" w:themeFill="accent5" w:themeFillTint="66"/>
            <w:vAlign w:val="center"/>
          </w:tcPr>
          <w:p w14:paraId="541F12D3">
            <w:pPr>
              <w:pStyle w:val="40"/>
            </w:pPr>
            <w:r>
              <w:t>Nom, prénom et qualité du signataire (*)</w:t>
            </w:r>
          </w:p>
        </w:tc>
        <w:tc>
          <w:tcPr>
            <w:tcW w:w="1667" w:type="pct"/>
            <w:tcBorders>
              <w:top w:val="single" w:color="000000" w:sz="4" w:space="0"/>
              <w:left w:val="single" w:color="000000" w:sz="4" w:space="0"/>
              <w:bottom w:val="single" w:color="auto" w:sz="12" w:space="0"/>
            </w:tcBorders>
            <w:shd w:val="clear" w:color="auto" w:fill="C2E0EB" w:themeFill="accent5" w:themeFillTint="66"/>
            <w:vAlign w:val="center"/>
          </w:tcPr>
          <w:p w14:paraId="47221B4B">
            <w:pPr>
              <w:pStyle w:val="40"/>
            </w:pPr>
            <w:r>
              <w:t>Lieu et date de signature</w:t>
            </w:r>
          </w:p>
        </w:tc>
        <w:tc>
          <w:tcPr>
            <w:tcW w:w="1666" w:type="pct"/>
            <w:tcBorders>
              <w:top w:val="single" w:color="000000" w:sz="4" w:space="0"/>
              <w:left w:val="single" w:color="000000" w:sz="4" w:space="0"/>
              <w:bottom w:val="single" w:color="auto" w:sz="12" w:space="0"/>
              <w:right w:val="single" w:color="000000" w:sz="4" w:space="0"/>
            </w:tcBorders>
            <w:shd w:val="clear" w:color="auto" w:fill="C2E0EB" w:themeFill="accent5" w:themeFillTint="66"/>
            <w:vAlign w:val="center"/>
          </w:tcPr>
          <w:p w14:paraId="027DE2A4">
            <w:pPr>
              <w:pStyle w:val="40"/>
            </w:pPr>
            <w:r>
              <w:t>Signature</w:t>
            </w:r>
          </w:p>
        </w:tc>
      </w:tr>
      <w:tr w14:paraId="55E7161C">
        <w:tblPrEx>
          <w:tblCellMar>
            <w:top w:w="0" w:type="dxa"/>
            <w:left w:w="108" w:type="dxa"/>
            <w:bottom w:w="0" w:type="dxa"/>
            <w:right w:w="108" w:type="dxa"/>
          </w:tblCellMar>
        </w:tblPrEx>
        <w:trPr>
          <w:trHeight w:val="1021" w:hRule="atLeast"/>
        </w:trPr>
        <w:tc>
          <w:tcPr>
            <w:tcW w:w="1667" w:type="pct"/>
            <w:tcBorders>
              <w:top w:val="single" w:color="auto" w:sz="12" w:space="0"/>
              <w:left w:val="single" w:color="000000" w:sz="4" w:space="0"/>
              <w:bottom w:val="single" w:color="auto" w:sz="4" w:space="0"/>
            </w:tcBorders>
            <w:shd w:val="clear" w:color="auto" w:fill="auto"/>
          </w:tcPr>
          <w:p w14:paraId="3BF1D480">
            <w:pPr>
              <w:tabs>
                <w:tab w:val="left" w:pos="851"/>
              </w:tabs>
              <w:snapToGrid w:val="0"/>
              <w:rPr>
                <w:rFonts w:cs="Arial"/>
                <w:b/>
                <w:bCs/>
                <w:sz w:val="20"/>
                <w:szCs w:val="20"/>
              </w:rPr>
            </w:pPr>
          </w:p>
          <w:p w14:paraId="7A08DD0A">
            <w:pPr>
              <w:tabs>
                <w:tab w:val="left" w:pos="851"/>
              </w:tabs>
              <w:snapToGrid w:val="0"/>
              <w:rPr>
                <w:rFonts w:cs="Arial"/>
                <w:b/>
                <w:bCs/>
                <w:sz w:val="20"/>
                <w:szCs w:val="20"/>
              </w:rPr>
            </w:pPr>
          </w:p>
          <w:p w14:paraId="51B4F62A">
            <w:pPr>
              <w:tabs>
                <w:tab w:val="left" w:pos="851"/>
              </w:tabs>
              <w:snapToGrid w:val="0"/>
              <w:rPr>
                <w:rFonts w:cs="Arial"/>
                <w:b/>
                <w:bCs/>
                <w:sz w:val="20"/>
                <w:szCs w:val="20"/>
              </w:rPr>
            </w:pPr>
          </w:p>
          <w:p w14:paraId="054F6B2F">
            <w:pPr>
              <w:tabs>
                <w:tab w:val="left" w:pos="851"/>
              </w:tabs>
              <w:snapToGrid w:val="0"/>
              <w:rPr>
                <w:rFonts w:cs="Arial"/>
                <w:b/>
                <w:bCs/>
                <w:sz w:val="20"/>
                <w:szCs w:val="20"/>
              </w:rPr>
            </w:pPr>
          </w:p>
        </w:tc>
        <w:tc>
          <w:tcPr>
            <w:tcW w:w="1667" w:type="pct"/>
            <w:tcBorders>
              <w:top w:val="single" w:color="auto" w:sz="12" w:space="0"/>
              <w:left w:val="single" w:color="000000" w:sz="4" w:space="0"/>
              <w:bottom w:val="single" w:color="auto" w:sz="4" w:space="0"/>
            </w:tcBorders>
            <w:shd w:val="clear" w:color="auto" w:fill="auto"/>
          </w:tcPr>
          <w:p w14:paraId="52CF97B4">
            <w:pPr>
              <w:tabs>
                <w:tab w:val="left" w:pos="851"/>
              </w:tabs>
              <w:snapToGrid w:val="0"/>
              <w:rPr>
                <w:rFonts w:cs="Arial"/>
                <w:b/>
                <w:bCs/>
                <w:sz w:val="20"/>
                <w:szCs w:val="20"/>
              </w:rPr>
            </w:pPr>
          </w:p>
        </w:tc>
        <w:tc>
          <w:tcPr>
            <w:tcW w:w="1666" w:type="pct"/>
            <w:tcBorders>
              <w:top w:val="single" w:color="auto" w:sz="12" w:space="0"/>
              <w:left w:val="single" w:color="000000" w:sz="4" w:space="0"/>
              <w:bottom w:val="single" w:color="auto" w:sz="4" w:space="0"/>
              <w:right w:val="single" w:color="000000" w:sz="4" w:space="0"/>
            </w:tcBorders>
            <w:shd w:val="clear" w:color="auto" w:fill="auto"/>
          </w:tcPr>
          <w:p w14:paraId="1095D837">
            <w:pPr>
              <w:tabs>
                <w:tab w:val="left" w:pos="851"/>
              </w:tabs>
              <w:snapToGrid w:val="0"/>
              <w:rPr>
                <w:rFonts w:cs="Arial"/>
                <w:b/>
                <w:bCs/>
                <w:sz w:val="20"/>
                <w:szCs w:val="20"/>
              </w:rPr>
            </w:pPr>
          </w:p>
          <w:p w14:paraId="5ACF887C">
            <w:pPr>
              <w:tabs>
                <w:tab w:val="left" w:pos="851"/>
              </w:tabs>
              <w:snapToGrid w:val="0"/>
              <w:rPr>
                <w:rFonts w:cs="Arial"/>
                <w:b/>
                <w:bCs/>
                <w:sz w:val="20"/>
                <w:szCs w:val="20"/>
              </w:rPr>
            </w:pPr>
          </w:p>
          <w:p w14:paraId="611F96F4">
            <w:pPr>
              <w:tabs>
                <w:tab w:val="left" w:pos="851"/>
              </w:tabs>
              <w:snapToGrid w:val="0"/>
              <w:rPr>
                <w:rFonts w:cs="Arial"/>
                <w:b/>
                <w:bCs/>
                <w:sz w:val="20"/>
                <w:szCs w:val="20"/>
              </w:rPr>
            </w:pPr>
          </w:p>
          <w:p w14:paraId="53DFF43C">
            <w:pPr>
              <w:tabs>
                <w:tab w:val="left" w:pos="851"/>
              </w:tabs>
              <w:snapToGrid w:val="0"/>
              <w:rPr>
                <w:rFonts w:cs="Arial"/>
                <w:b/>
                <w:bCs/>
                <w:sz w:val="20"/>
                <w:szCs w:val="20"/>
              </w:rPr>
            </w:pPr>
          </w:p>
          <w:p w14:paraId="00FBC5FC">
            <w:pPr>
              <w:tabs>
                <w:tab w:val="left" w:pos="851"/>
              </w:tabs>
              <w:snapToGrid w:val="0"/>
              <w:rPr>
                <w:rFonts w:cs="Arial"/>
                <w:b/>
                <w:bCs/>
                <w:sz w:val="20"/>
                <w:szCs w:val="20"/>
              </w:rPr>
            </w:pPr>
          </w:p>
        </w:tc>
      </w:tr>
    </w:tbl>
    <w:p w14:paraId="1D48078B">
      <w:pPr>
        <w:pStyle w:val="26"/>
        <w:rPr>
          <w:sz w:val="20"/>
          <w:szCs w:val="20"/>
        </w:rPr>
      </w:pPr>
      <w:r>
        <w:rPr>
          <w:sz w:val="20"/>
          <w:szCs w:val="20"/>
        </w:rPr>
        <w:t>(*) Le signataire doit avoir le pouvoir d’engager la personne qu’il représente.</w:t>
      </w:r>
    </w:p>
    <w:p w14:paraId="35B50F5F">
      <w:pPr>
        <w:pStyle w:val="3"/>
        <w:ind w:left="796" w:leftChars="0" w:firstLineChars="0"/>
        <w:rPr>
          <w:sz w:val="20"/>
          <w:szCs w:val="20"/>
        </w:rPr>
      </w:pPr>
      <w:r>
        <w:rPr>
          <w:sz w:val="20"/>
          <w:szCs w:val="20"/>
        </w:rPr>
        <w:t>Signature de l’acheteur</w:t>
      </w:r>
    </w:p>
    <w:p w14:paraId="6EA0E463">
      <w:pPr>
        <w:rPr>
          <w:sz w:val="20"/>
          <w:szCs w:val="20"/>
        </w:rPr>
      </w:pPr>
      <w:r>
        <w:rPr>
          <w:sz w:val="20"/>
          <w:szCs w:val="20"/>
        </w:rPr>
        <w:t>La présente offre est acceptée.</w:t>
      </w:r>
    </w:p>
    <w:p w14:paraId="305BA004">
      <w:pPr>
        <w:rPr>
          <w:sz w:val="20"/>
          <w:szCs w:val="20"/>
        </w:rPr>
      </w:pPr>
    </w:p>
    <w:p w14:paraId="6D3DC5BF">
      <w:pPr>
        <w:rPr>
          <w:sz w:val="20"/>
          <w:szCs w:val="20"/>
        </w:rPr>
      </w:pPr>
      <w:r>
        <w:rPr>
          <w:sz w:val="20"/>
          <w:szCs w:val="20"/>
        </w:rPr>
        <w:t>Fait à Saint-Mandé,</w:t>
      </w:r>
    </w:p>
    <w:p w14:paraId="015707FC">
      <w:pPr>
        <w:rPr>
          <w:sz w:val="20"/>
          <w:szCs w:val="20"/>
        </w:rPr>
      </w:pPr>
    </w:p>
    <w:p w14:paraId="02D9F8BC">
      <w:pPr>
        <w:pBdr>
          <w:top w:val="single" w:color="auto" w:sz="4" w:space="1"/>
          <w:left w:val="single" w:color="auto" w:sz="4" w:space="4"/>
          <w:bottom w:val="single" w:color="auto" w:sz="4" w:space="1"/>
          <w:right w:val="single" w:color="auto" w:sz="4" w:space="4"/>
        </w:pBdr>
        <w:jc w:val="center"/>
        <w:rPr>
          <w:sz w:val="20"/>
          <w:szCs w:val="20"/>
        </w:rPr>
      </w:pPr>
      <w:r>
        <w:rPr>
          <w:sz w:val="20"/>
          <w:szCs w:val="20"/>
        </w:rPr>
        <w:t>Signature</w:t>
      </w:r>
    </w:p>
    <w:p w14:paraId="0EC6F936">
      <w:pPr>
        <w:pBdr>
          <w:top w:val="single" w:color="auto" w:sz="4" w:space="1"/>
          <w:left w:val="single" w:color="auto" w:sz="4" w:space="4"/>
          <w:bottom w:val="single" w:color="auto" w:sz="4" w:space="1"/>
          <w:right w:val="single" w:color="auto" w:sz="4" w:space="4"/>
        </w:pBdr>
        <w:jc w:val="center"/>
        <w:rPr>
          <w:sz w:val="20"/>
          <w:szCs w:val="20"/>
        </w:rPr>
      </w:pPr>
      <w:r>
        <w:rPr>
          <w:sz w:val="20"/>
          <w:szCs w:val="20"/>
        </w:rPr>
        <w:t>Pour le Directeur général de l’IGN, et par délégation,</w:t>
      </w:r>
    </w:p>
    <w:p w14:paraId="0E12ABA1">
      <w:pPr>
        <w:pBdr>
          <w:top w:val="single" w:color="auto" w:sz="4" w:space="1"/>
          <w:left w:val="single" w:color="auto" w:sz="4" w:space="4"/>
          <w:bottom w:val="single" w:color="auto" w:sz="4" w:space="1"/>
          <w:right w:val="single" w:color="auto" w:sz="4" w:space="4"/>
        </w:pBdr>
        <w:jc w:val="center"/>
        <w:rPr>
          <w:sz w:val="20"/>
          <w:szCs w:val="20"/>
        </w:rPr>
      </w:pPr>
    </w:p>
    <w:p w14:paraId="71FB1FB7">
      <w:pPr>
        <w:pBdr>
          <w:top w:val="single" w:color="auto" w:sz="4" w:space="1"/>
          <w:left w:val="single" w:color="auto" w:sz="4" w:space="4"/>
          <w:bottom w:val="single" w:color="auto" w:sz="4" w:space="1"/>
          <w:right w:val="single" w:color="auto" w:sz="4" w:space="4"/>
        </w:pBdr>
        <w:jc w:val="center"/>
        <w:rPr>
          <w:sz w:val="20"/>
          <w:szCs w:val="20"/>
        </w:rPr>
      </w:pPr>
    </w:p>
    <w:p w14:paraId="59195BE9">
      <w:pPr>
        <w:pBdr>
          <w:top w:val="single" w:color="auto" w:sz="4" w:space="1"/>
          <w:left w:val="single" w:color="auto" w:sz="4" w:space="4"/>
          <w:bottom w:val="single" w:color="auto" w:sz="4" w:space="1"/>
          <w:right w:val="single" w:color="auto" w:sz="4" w:space="4"/>
        </w:pBdr>
        <w:jc w:val="center"/>
        <w:rPr>
          <w:sz w:val="20"/>
          <w:szCs w:val="20"/>
        </w:rPr>
      </w:pPr>
    </w:p>
    <w:p w14:paraId="3EC88B2C">
      <w:pPr>
        <w:pBdr>
          <w:top w:val="single" w:color="auto" w:sz="4" w:space="1"/>
          <w:left w:val="single" w:color="auto" w:sz="4" w:space="4"/>
          <w:bottom w:val="single" w:color="auto" w:sz="4" w:space="1"/>
          <w:right w:val="single" w:color="auto" w:sz="4" w:space="4"/>
        </w:pBdr>
        <w:jc w:val="center"/>
        <w:rPr>
          <w:sz w:val="20"/>
          <w:szCs w:val="20"/>
        </w:rPr>
      </w:pPr>
    </w:p>
    <w:p w14:paraId="252D47C6">
      <w:pPr>
        <w:pBdr>
          <w:top w:val="single" w:color="auto" w:sz="4" w:space="1"/>
          <w:left w:val="single" w:color="auto" w:sz="4" w:space="4"/>
          <w:bottom w:val="single" w:color="auto" w:sz="4" w:space="1"/>
          <w:right w:val="single" w:color="auto" w:sz="4" w:space="4"/>
        </w:pBdr>
        <w:jc w:val="center"/>
        <w:rPr>
          <w:sz w:val="20"/>
          <w:szCs w:val="20"/>
        </w:rPr>
      </w:pPr>
    </w:p>
    <w:p w14:paraId="2B2B0F8A">
      <w:pPr>
        <w:spacing w:before="0" w:after="200" w:line="276" w:lineRule="auto"/>
        <w:jc w:val="left"/>
        <w:rPr>
          <w:sz w:val="20"/>
          <w:szCs w:val="20"/>
        </w:rPr>
        <w:sectPr>
          <w:headerReference r:id="rId9" w:type="default"/>
          <w:type w:val="continuous"/>
          <w:pgSz w:w="11906" w:h="16838"/>
          <w:pgMar w:top="1134" w:right="1418" w:bottom="1701" w:left="1418" w:header="1126" w:footer="851" w:gutter="0"/>
          <w:cols w:space="708" w:num="1"/>
          <w:docGrid w:linePitch="360" w:charSpace="0"/>
        </w:sectPr>
      </w:pPr>
      <w:r>
        <w:rPr>
          <w:sz w:val="20"/>
          <w:szCs w:val="20"/>
        </w:rPr>
        <w:br w:type="page"/>
      </w:r>
    </w:p>
    <w:p w14:paraId="06B07497">
      <w:pPr>
        <w:pStyle w:val="2"/>
        <w:rPr>
          <w:sz w:val="20"/>
          <w:szCs w:val="20"/>
        </w:rPr>
      </w:pPr>
      <w:bookmarkStart w:id="13" w:name="_Hlk189143686"/>
      <w:r>
        <w:rPr>
          <w:sz w:val="20"/>
          <w:szCs w:val="20"/>
        </w:rPr>
        <w:t>ANNEXE FINANCIÈRE</w:t>
      </w:r>
    </w:p>
    <w:bookmarkEnd w:id="13"/>
    <w:tbl>
      <w:tblPr>
        <w:tblStyle w:val="3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7"/>
        <w:gridCol w:w="7447"/>
      </w:tblGrid>
      <w:tr w14:paraId="5ABE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bottom w:val="single" w:color="auto" w:sz="12" w:space="0"/>
            </w:tcBorders>
            <w:shd w:val="clear" w:color="auto" w:fill="C2E0EB" w:themeFill="accent5" w:themeFillTint="66"/>
            <w:vAlign w:val="center"/>
          </w:tcPr>
          <w:p w14:paraId="306D3209">
            <w:pPr>
              <w:tabs>
                <w:tab w:val="left" w:pos="851"/>
              </w:tabs>
              <w:suppressAutoHyphens/>
              <w:spacing w:before="0" w:after="0"/>
              <w:jc w:val="center"/>
              <w:rPr>
                <w:rFonts w:eastAsia="Times New Roman" w:cs="Arial"/>
                <w:b/>
                <w:color w:val="auto"/>
                <w:kern w:val="3"/>
                <w:sz w:val="20"/>
                <w:szCs w:val="20"/>
                <w:lang w:eastAsia="fr-FR" w:bidi="hi-IN"/>
              </w:rPr>
            </w:pPr>
            <w:bookmarkStart w:id="14" w:name="_Hlk189127004"/>
          </w:p>
          <w:p w14:paraId="1FEC8DD9">
            <w:pPr>
              <w:tabs>
                <w:tab w:val="left" w:pos="851"/>
              </w:tabs>
              <w:suppressAutoHyphens/>
              <w:spacing w:before="0" w:after="0"/>
              <w:jc w:val="center"/>
              <w:rPr>
                <w:rFonts w:eastAsia="Times New Roman" w:cs="Arial"/>
                <w:b/>
                <w:color w:val="auto"/>
                <w:kern w:val="3"/>
                <w:sz w:val="20"/>
                <w:szCs w:val="20"/>
                <w:lang w:eastAsia="fr-FR" w:bidi="hi-IN"/>
              </w:rPr>
            </w:pPr>
            <w:r>
              <w:rPr>
                <w:rFonts w:eastAsia="Times New Roman" w:cs="Arial"/>
                <w:b/>
                <w:color w:val="auto"/>
                <w:kern w:val="3"/>
                <w:sz w:val="20"/>
                <w:szCs w:val="20"/>
                <w:lang w:eastAsia="fr-FR" w:bidi="hi-IN"/>
              </w:rPr>
              <w:t>Montant minimum de</w:t>
            </w:r>
            <w:r>
              <w:rPr>
                <w:rFonts w:hint="default" w:eastAsia="Times New Roman" w:cs="Arial"/>
                <w:b/>
                <w:color w:val="auto"/>
                <w:kern w:val="3"/>
                <w:sz w:val="20"/>
                <w:szCs w:val="20"/>
                <w:lang w:val="en-US" w:eastAsia="fr-FR" w:bidi="hi-IN"/>
              </w:rPr>
              <w:t xml:space="preserve"> la </w:t>
            </w:r>
            <w:r>
              <w:rPr>
                <w:rFonts w:eastAsia="Times New Roman" w:cs="Arial"/>
                <w:b/>
                <w:color w:val="auto"/>
                <w:kern w:val="3"/>
                <w:sz w:val="20"/>
                <w:szCs w:val="20"/>
                <w:lang w:eastAsia="fr-FR" w:bidi="hi-IN"/>
              </w:rPr>
              <w:t>commande</w:t>
            </w:r>
          </w:p>
          <w:p w14:paraId="61F10204">
            <w:pPr>
              <w:tabs>
                <w:tab w:val="left" w:pos="851"/>
              </w:tabs>
              <w:suppressAutoHyphens/>
              <w:spacing w:before="0" w:after="0"/>
              <w:jc w:val="center"/>
              <w:rPr>
                <w:rFonts w:hint="default" w:eastAsia="Times New Roman" w:cs="Arial"/>
                <w:b/>
                <w:color w:val="auto"/>
                <w:kern w:val="3"/>
                <w:sz w:val="20"/>
                <w:szCs w:val="20"/>
                <w:highlight w:val="none"/>
                <w:lang w:val="en-US" w:eastAsia="fr-FR" w:bidi="hi-IN"/>
              </w:rPr>
            </w:pPr>
            <w:r>
              <w:rPr>
                <w:rFonts w:hint="default" w:eastAsia="Times New Roman" w:cs="Arial"/>
                <w:b/>
                <w:color w:val="auto"/>
                <w:kern w:val="3"/>
                <w:sz w:val="20"/>
                <w:szCs w:val="20"/>
                <w:highlight w:val="none"/>
                <w:lang w:val="en-US" w:eastAsia="fr-FR" w:bidi="hi-IN"/>
              </w:rPr>
              <w:t>d</w:t>
            </w:r>
            <w:r>
              <w:rPr>
                <w:rFonts w:eastAsia="Times New Roman" w:cs="Arial"/>
                <w:b/>
                <w:color w:val="auto"/>
                <w:kern w:val="3"/>
                <w:sz w:val="20"/>
                <w:szCs w:val="20"/>
                <w:highlight w:val="none"/>
                <w:lang w:eastAsia="fr-FR" w:bidi="hi-IN"/>
              </w:rPr>
              <w:t>e</w:t>
            </w:r>
            <w:r>
              <w:rPr>
                <w:rFonts w:hint="default" w:eastAsia="Times New Roman" w:cs="Arial"/>
                <w:b/>
                <w:color w:val="auto"/>
                <w:kern w:val="3"/>
                <w:sz w:val="20"/>
                <w:szCs w:val="20"/>
                <w:highlight w:val="none"/>
                <w:lang w:val="en-US" w:eastAsia="fr-FR" w:bidi="hi-IN"/>
              </w:rPr>
              <w:t xml:space="preserve"> la session de formation de2 jours</w:t>
            </w:r>
          </w:p>
          <w:p w14:paraId="5A9958E0">
            <w:pPr>
              <w:widowControl w:val="0"/>
              <w:suppressAutoHyphens/>
              <w:autoSpaceDN w:val="0"/>
              <w:spacing w:before="0" w:after="0"/>
              <w:jc w:val="center"/>
              <w:textAlignment w:val="baseline"/>
              <w:rPr>
                <w:rFonts w:eastAsia="Times New Roman" w:cs="Arial"/>
                <w:b/>
                <w:color w:val="auto"/>
                <w:kern w:val="3"/>
                <w:sz w:val="20"/>
                <w:szCs w:val="20"/>
                <w:lang w:eastAsia="fr-FR" w:bidi="hi-IN"/>
              </w:rPr>
            </w:pPr>
          </w:p>
        </w:tc>
        <w:tc>
          <w:tcPr>
            <w:tcW w:w="2500" w:type="pct"/>
            <w:tcBorders>
              <w:bottom w:val="single" w:color="auto" w:sz="12" w:space="0"/>
            </w:tcBorders>
            <w:shd w:val="clear" w:color="auto" w:fill="C2E0EB" w:themeFill="accent5" w:themeFillTint="66"/>
            <w:vAlign w:val="center"/>
          </w:tcPr>
          <w:p w14:paraId="36207139">
            <w:pPr>
              <w:tabs>
                <w:tab w:val="left" w:pos="851"/>
              </w:tabs>
              <w:suppressAutoHyphens/>
              <w:spacing w:before="0" w:after="0"/>
              <w:jc w:val="center"/>
              <w:rPr>
                <w:rFonts w:hint="default" w:eastAsia="Times New Roman" w:cs="Arial"/>
                <w:b/>
                <w:color w:val="auto"/>
                <w:kern w:val="3"/>
                <w:sz w:val="20"/>
                <w:szCs w:val="20"/>
                <w:highlight w:val="none"/>
                <w:lang w:val="en-US" w:eastAsia="fr-FR" w:bidi="hi-IN"/>
              </w:rPr>
            </w:pPr>
            <w:r>
              <w:rPr>
                <w:rFonts w:eastAsia="Times New Roman" w:cs="Arial"/>
                <w:b/>
                <w:color w:val="auto"/>
                <w:kern w:val="3"/>
                <w:sz w:val="20"/>
                <w:szCs w:val="20"/>
                <w:highlight w:val="none"/>
                <w:lang w:eastAsia="fr-FR" w:bidi="hi-IN"/>
              </w:rPr>
              <w:t>Montant maximum</w:t>
            </w:r>
            <w:r>
              <w:rPr>
                <w:rFonts w:hint="default" w:eastAsia="Times New Roman" w:cs="Arial"/>
                <w:b/>
                <w:color w:val="auto"/>
                <w:kern w:val="3"/>
                <w:sz w:val="20"/>
                <w:szCs w:val="20"/>
                <w:highlight w:val="none"/>
                <w:lang w:val="en-US" w:eastAsia="fr-FR" w:bidi="hi-IN"/>
              </w:rPr>
              <w:t xml:space="preserve"> de la commande </w:t>
            </w:r>
          </w:p>
          <w:p w14:paraId="6769A3D3">
            <w:pPr>
              <w:tabs>
                <w:tab w:val="left" w:pos="851"/>
              </w:tabs>
              <w:suppressAutoHyphens/>
              <w:spacing w:before="0" w:after="0"/>
              <w:jc w:val="center"/>
              <w:rPr>
                <w:rFonts w:hint="default" w:eastAsia="Times New Roman" w:cs="Arial"/>
                <w:b/>
                <w:color w:val="auto"/>
                <w:kern w:val="3"/>
                <w:sz w:val="20"/>
                <w:szCs w:val="20"/>
                <w:highlight w:val="none"/>
                <w:lang w:val="en-US" w:eastAsia="fr-FR" w:bidi="hi-IN"/>
              </w:rPr>
            </w:pPr>
            <w:r>
              <w:rPr>
                <w:rFonts w:eastAsia="Times New Roman" w:cs="Arial"/>
                <w:b/>
                <w:color w:val="auto"/>
                <w:kern w:val="3"/>
                <w:sz w:val="20"/>
                <w:szCs w:val="20"/>
                <w:highlight w:val="none"/>
                <w:lang w:eastAsia="fr-FR" w:bidi="hi-IN"/>
              </w:rPr>
              <w:t>de</w:t>
            </w:r>
            <w:r>
              <w:rPr>
                <w:rFonts w:hint="default" w:eastAsia="Times New Roman" w:cs="Arial"/>
                <w:b/>
                <w:color w:val="auto"/>
                <w:kern w:val="3"/>
                <w:sz w:val="20"/>
                <w:szCs w:val="20"/>
                <w:highlight w:val="none"/>
                <w:lang w:val="en-US" w:eastAsia="fr-FR" w:bidi="hi-IN"/>
              </w:rPr>
              <w:t xml:space="preserve"> la session de formation de 2 jours</w:t>
            </w:r>
          </w:p>
        </w:tc>
      </w:tr>
      <w:tr w14:paraId="06AD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top w:val="single" w:color="auto" w:sz="12" w:space="0"/>
            </w:tcBorders>
            <w:shd w:val="clear" w:color="auto" w:fill="auto"/>
            <w:vAlign w:val="center"/>
          </w:tcPr>
          <w:p w14:paraId="6205D36F">
            <w:pPr>
              <w:tabs>
                <w:tab w:val="left" w:pos="851"/>
              </w:tabs>
              <w:suppressAutoHyphens/>
              <w:spacing w:before="0" w:after="0"/>
              <w:jc w:val="center"/>
              <w:rPr>
                <w:rFonts w:eastAsia="Times New Roman" w:cs="Arial"/>
                <w:color w:val="auto"/>
                <w:sz w:val="20"/>
                <w:szCs w:val="20"/>
                <w:lang w:eastAsia="zh-CN"/>
              </w:rPr>
            </w:pPr>
            <w:r>
              <w:rPr>
                <w:rFonts w:eastAsia="Times New Roman" w:cs="Arial"/>
                <w:color w:val="auto"/>
                <w:sz w:val="20"/>
                <w:szCs w:val="20"/>
                <w:lang w:eastAsia="zh-CN"/>
              </w:rPr>
              <w:t>Sans minimum</w:t>
            </w:r>
          </w:p>
        </w:tc>
        <w:tc>
          <w:tcPr>
            <w:tcW w:w="2500" w:type="pct"/>
            <w:tcBorders>
              <w:top w:val="single" w:color="auto" w:sz="12" w:space="0"/>
            </w:tcBorders>
            <w:shd w:val="clear" w:color="auto" w:fill="auto"/>
            <w:vAlign w:val="center"/>
          </w:tcPr>
          <w:p w14:paraId="148D2ABC">
            <w:pPr>
              <w:tabs>
                <w:tab w:val="left" w:pos="851"/>
              </w:tabs>
              <w:suppressAutoHyphens/>
              <w:spacing w:before="0" w:after="0"/>
              <w:jc w:val="center"/>
              <w:rPr>
                <w:rFonts w:hint="default" w:eastAsia="Times New Roman" w:cs="Arial"/>
                <w:color w:val="auto"/>
                <w:sz w:val="20"/>
                <w:szCs w:val="20"/>
                <w:highlight w:val="none"/>
                <w:lang w:val="fr-FR" w:eastAsia="zh-CN"/>
              </w:rPr>
            </w:pPr>
            <w:r>
              <w:rPr>
                <w:rFonts w:hint="default" w:eastAsia="Times New Roman" w:cs="Arial"/>
                <w:color w:val="auto"/>
                <w:sz w:val="20"/>
                <w:szCs w:val="20"/>
                <w:highlight w:val="none"/>
                <w:lang w:val="fr-FR" w:eastAsia="zh-CN"/>
              </w:rPr>
              <w:t>2000 € HT</w:t>
            </w:r>
          </w:p>
        </w:tc>
      </w:tr>
      <w:bookmarkEnd w:id="14"/>
    </w:tbl>
    <w:p w14:paraId="3B079C0F">
      <w:pPr>
        <w:pStyle w:val="18"/>
        <w:numPr>
          <w:ilvl w:val="0"/>
          <w:numId w:val="0"/>
        </w:numPr>
        <w:spacing w:before="0"/>
        <w:ind w:left="720"/>
        <w:contextualSpacing/>
        <w:rPr>
          <w:sz w:val="20"/>
          <w:szCs w:val="20"/>
        </w:rPr>
      </w:pPr>
    </w:p>
    <w:p w14:paraId="50A38FDE">
      <w:pPr>
        <w:pStyle w:val="18"/>
        <w:numPr>
          <w:ilvl w:val="0"/>
          <w:numId w:val="0"/>
        </w:numPr>
        <w:spacing w:before="0"/>
        <w:ind w:left="720"/>
        <w:contextualSpacing/>
        <w:rPr>
          <w:sz w:val="20"/>
          <w:szCs w:val="20"/>
        </w:rPr>
      </w:pPr>
      <w:bookmarkStart w:id="15" w:name="_Hlk189130041"/>
    </w:p>
    <w:bookmarkEnd w:id="15"/>
    <w:tbl>
      <w:tblPr>
        <w:tblStyle w:val="8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3"/>
        <w:gridCol w:w="2277"/>
        <w:gridCol w:w="2250"/>
        <w:gridCol w:w="2894"/>
      </w:tblGrid>
      <w:tr w14:paraId="3109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2508" w:type="pct"/>
            <w:tcBorders>
              <w:bottom w:val="single" w:color="auto" w:sz="12" w:space="0"/>
            </w:tcBorders>
            <w:shd w:val="clear" w:color="auto" w:fill="C2E0EB" w:themeFill="accent5" w:themeFillTint="66"/>
            <w:vAlign w:val="center"/>
          </w:tcPr>
          <w:p w14:paraId="1895C2F0">
            <w:pPr>
              <w:spacing w:before="200" w:after="200" w:line="276" w:lineRule="auto"/>
              <w:jc w:val="center"/>
              <w:rPr>
                <w:rFonts w:eastAsia="MS Mincho" w:cs="Times New Roman"/>
                <w:b/>
                <w:bCs/>
                <w:color w:val="auto"/>
                <w:sz w:val="20"/>
                <w:szCs w:val="20"/>
                <w:lang w:eastAsia="fr-FR"/>
              </w:rPr>
            </w:pPr>
            <w:bookmarkStart w:id="16" w:name="_Hlk178948292"/>
            <w:r>
              <w:rPr>
                <w:rFonts w:eastAsia="MS Mincho" w:cs="Times New Roman"/>
                <w:b/>
                <w:bCs/>
                <w:color w:val="auto"/>
                <w:sz w:val="20"/>
                <w:szCs w:val="20"/>
                <w:lang w:eastAsia="fr-FR"/>
              </w:rPr>
              <w:t>Formation en int</w:t>
            </w:r>
            <w:r>
              <w:rPr>
                <w:rFonts w:hint="default" w:eastAsia="MS Mincho" w:cs="Times New Roman"/>
                <w:b/>
                <w:bCs/>
                <w:color w:val="auto"/>
                <w:sz w:val="20"/>
                <w:szCs w:val="20"/>
                <w:lang w:val="en-US" w:eastAsia="fr-FR"/>
              </w:rPr>
              <w:t>e</w:t>
            </w:r>
            <w:r>
              <w:rPr>
                <w:rFonts w:eastAsia="MS Mincho" w:cs="Times New Roman"/>
                <w:b/>
                <w:bCs/>
                <w:color w:val="auto"/>
                <w:sz w:val="20"/>
                <w:szCs w:val="20"/>
                <w:lang w:eastAsia="fr-FR"/>
              </w:rPr>
              <w:t>r-entreprise en présentiel</w:t>
            </w:r>
          </w:p>
        </w:tc>
        <w:tc>
          <w:tcPr>
            <w:tcW w:w="764" w:type="pct"/>
            <w:tcBorders>
              <w:bottom w:val="single" w:color="auto" w:sz="12" w:space="0"/>
            </w:tcBorders>
            <w:shd w:val="clear" w:color="auto" w:fill="C2E0EB" w:themeFill="accent5" w:themeFillTint="66"/>
            <w:vAlign w:val="center"/>
          </w:tcPr>
          <w:p w14:paraId="44642377">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Nombre de jours de formation</w:t>
            </w:r>
          </w:p>
        </w:tc>
        <w:tc>
          <w:tcPr>
            <w:tcW w:w="755" w:type="pct"/>
            <w:tcBorders>
              <w:bottom w:val="single" w:color="auto" w:sz="12" w:space="0"/>
            </w:tcBorders>
            <w:shd w:val="clear" w:color="auto" w:fill="C2E0EB" w:themeFill="accent5" w:themeFillTint="66"/>
            <w:vAlign w:val="center"/>
          </w:tcPr>
          <w:p w14:paraId="50B16180">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HT</w:t>
            </w:r>
          </w:p>
        </w:tc>
        <w:tc>
          <w:tcPr>
            <w:tcW w:w="971" w:type="pct"/>
            <w:tcBorders>
              <w:bottom w:val="single" w:color="auto" w:sz="12" w:space="0"/>
            </w:tcBorders>
            <w:shd w:val="clear" w:color="auto" w:fill="C2E0EB" w:themeFill="accent5" w:themeFillTint="66"/>
            <w:vAlign w:val="center"/>
          </w:tcPr>
          <w:p w14:paraId="641FBFAD">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remisé</w:t>
            </w:r>
          </w:p>
        </w:tc>
      </w:tr>
      <w:tr w14:paraId="503E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08" w:type="pct"/>
            <w:tcBorders>
              <w:top w:val="single" w:color="auto" w:sz="12" w:space="0"/>
              <w:bottom w:val="single" w:color="auto" w:sz="12" w:space="0"/>
            </w:tcBorders>
            <w:shd w:val="clear" w:color="auto" w:fill="C2E0EB" w:themeFill="accent5" w:themeFillTint="66"/>
            <w:vAlign w:val="center"/>
          </w:tcPr>
          <w:p w14:paraId="48268FE2">
            <w:pPr>
              <w:spacing w:before="200" w:after="200" w:line="276" w:lineRule="auto"/>
              <w:jc w:val="center"/>
              <w:rPr>
                <w:rFonts w:hint="default" w:eastAsia="MS Mincho" w:cs="Times New Roman"/>
                <w:b/>
                <w:bCs/>
                <w:color w:val="auto"/>
                <w:sz w:val="20"/>
                <w:szCs w:val="20"/>
                <w:lang w:val="en-US" w:eastAsia="fr-FR"/>
              </w:rPr>
            </w:pPr>
            <w:r>
              <w:rPr>
                <w:rFonts w:eastAsia="MS Mincho" w:cs="Times New Roman"/>
                <w:b/>
                <w:bCs/>
                <w:color w:val="auto"/>
                <w:sz w:val="20"/>
                <w:szCs w:val="20"/>
                <w:lang w:eastAsia="fr-FR"/>
              </w:rPr>
              <w:t>Prix d</w:t>
            </w:r>
            <w:r>
              <w:rPr>
                <w:rFonts w:hint="default" w:eastAsia="MS Mincho" w:cs="Times New Roman"/>
                <w:b/>
                <w:bCs/>
                <w:color w:val="auto"/>
                <w:sz w:val="20"/>
                <w:szCs w:val="20"/>
                <w:lang w:val="en-US" w:eastAsia="fr-FR"/>
              </w:rPr>
              <w:t xml:space="preserve">e la </w:t>
            </w:r>
            <w:r>
              <w:rPr>
                <w:rFonts w:eastAsia="MS Mincho" w:cs="Times New Roman"/>
                <w:b/>
                <w:bCs/>
                <w:color w:val="auto"/>
                <w:sz w:val="20"/>
                <w:szCs w:val="20"/>
                <w:lang w:eastAsia="fr-FR"/>
              </w:rPr>
              <w:t xml:space="preserve">session </w:t>
            </w:r>
          </w:p>
        </w:tc>
        <w:tc>
          <w:tcPr>
            <w:tcW w:w="764" w:type="pct"/>
            <w:tcBorders>
              <w:top w:val="single" w:color="auto" w:sz="12" w:space="0"/>
              <w:bottom w:val="single" w:color="auto" w:sz="12" w:space="0"/>
            </w:tcBorders>
            <w:vAlign w:val="center"/>
          </w:tcPr>
          <w:p w14:paraId="0A6ABA61">
            <w:pPr>
              <w:spacing w:before="200" w:after="200" w:line="276" w:lineRule="auto"/>
              <w:jc w:val="center"/>
              <w:rPr>
                <w:rFonts w:hint="default" w:eastAsia="MS Mincho" w:cs="Times New Roman"/>
                <w:color w:val="auto"/>
                <w:sz w:val="20"/>
                <w:szCs w:val="20"/>
                <w:lang w:val="en-US" w:eastAsia="fr-FR"/>
              </w:rPr>
            </w:pPr>
            <w:r>
              <w:rPr>
                <w:rFonts w:hint="default" w:eastAsia="MS Mincho" w:cs="Times New Roman"/>
                <w:color w:val="auto"/>
                <w:sz w:val="20"/>
                <w:szCs w:val="20"/>
                <w:lang w:val="en-US" w:eastAsia="fr-FR"/>
              </w:rPr>
              <w:t>2</w:t>
            </w:r>
          </w:p>
        </w:tc>
        <w:tc>
          <w:tcPr>
            <w:tcW w:w="755" w:type="pct"/>
            <w:tcBorders>
              <w:top w:val="single" w:color="auto" w:sz="12" w:space="0"/>
              <w:bottom w:val="single" w:color="auto" w:sz="12" w:space="0"/>
            </w:tcBorders>
            <w:vAlign w:val="center"/>
          </w:tcPr>
          <w:p w14:paraId="3B7CD695">
            <w:pPr>
              <w:spacing w:before="200" w:after="200" w:line="276" w:lineRule="auto"/>
              <w:jc w:val="center"/>
              <w:rPr>
                <w:rFonts w:eastAsia="MS Mincho" w:cs="Times New Roman"/>
                <w:color w:val="auto"/>
                <w:sz w:val="20"/>
                <w:szCs w:val="20"/>
                <w:lang w:eastAsia="fr-FR"/>
              </w:rPr>
            </w:pPr>
          </w:p>
        </w:tc>
        <w:tc>
          <w:tcPr>
            <w:tcW w:w="971" w:type="pct"/>
            <w:tcBorders>
              <w:top w:val="single" w:color="auto" w:sz="12" w:space="0"/>
              <w:bottom w:val="single" w:color="auto" w:sz="12" w:space="0"/>
            </w:tcBorders>
            <w:vAlign w:val="center"/>
          </w:tcPr>
          <w:p w14:paraId="37DA6414">
            <w:pPr>
              <w:spacing w:before="200" w:after="200" w:line="276" w:lineRule="auto"/>
              <w:jc w:val="center"/>
              <w:rPr>
                <w:rFonts w:eastAsia="MS Mincho" w:cs="Times New Roman"/>
                <w:color w:val="auto"/>
                <w:sz w:val="20"/>
                <w:szCs w:val="20"/>
                <w:lang w:eastAsia="fr-FR"/>
              </w:rPr>
            </w:pPr>
          </w:p>
        </w:tc>
      </w:tr>
      <w:bookmarkEnd w:id="16"/>
    </w:tbl>
    <w:p w14:paraId="673A2506">
      <w:pPr>
        <w:rPr>
          <w:sz w:val="20"/>
          <w:szCs w:val="20"/>
        </w:rPr>
      </w:pPr>
    </w:p>
    <w:p w14:paraId="448D76D8">
      <w:pPr>
        <w:rPr>
          <w:sz w:val="18"/>
          <w:szCs w:val="18"/>
        </w:rPr>
      </w:pPr>
    </w:p>
    <w:sectPr>
      <w:pgSz w:w="16838" w:h="11906" w:orient="landscape"/>
      <w:pgMar w:top="1440" w:right="1080" w:bottom="1440" w:left="1080" w:header="1128" w:footer="851"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rianne">
    <w:panose1 w:val="02000000000000000000"/>
    <w:charset w:val="00"/>
    <w:family w:val="modern"/>
    <w:pitch w:val="default"/>
    <w:sig w:usb0="0000000F" w:usb1="00000000" w:usb2="00000000" w:usb3="00000000" w:csb0="00000003"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A">
    <w:pPr>
      <w:pStyle w:val="26"/>
      <w:tabs>
        <w:tab w:val="right" w:pos="9072"/>
      </w:tabs>
    </w:pPr>
    <w:r>
      <w:rPr>
        <w:rStyle w:val="46"/>
      </w:rPr>
      <w:t xml:space="preserve">IGN I </w:t>
    </w:r>
    <w:r>
      <w:t>Service des Achats et des Marchés-Prestation de formation</w:t>
    </w:r>
    <w:r>
      <w:rPr>
        <w:rFonts w:hint="default"/>
        <w:lang w:val="fr-FR"/>
      </w:rPr>
      <w:t xml:space="preserve"> Développement des relations entreprises /écoles</w:t>
    </w:r>
    <w:r>
      <w:t xml:space="preserve"> - CCP-AE-GBM_2</w:t>
    </w:r>
    <w:r>
      <w:rPr>
        <w:rFonts w:hint="default"/>
        <w:lang w:val="fr-FR"/>
      </w:rPr>
      <w:t>6022</w:t>
    </w:r>
    <w:r>
      <w:t>-</w:t>
    </w: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C">
    <w:pPr>
      <w:pStyle w:val="26"/>
      <w:tabs>
        <w:tab w:val="right" w:pos="9072"/>
        <w:tab w:val="clear" w:pos="9639"/>
      </w:tabs>
    </w:pPr>
    <w:r>
      <w:t>Arcep-Direction-référence de la note</w:t>
    </w:r>
    <w:r>
      <w:tab/>
    </w: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BA9DA">
    <w:pPr>
      <w:pStyle w:val="27"/>
      <w:jc w:val="center"/>
    </w:pPr>
    <w:r>
      <w:rPr>
        <w:lang w:eastAsia="fr-FR"/>
      </w:rPr>
      <w:drawing>
        <wp:anchor distT="0" distB="0" distL="114300" distR="114300" simplePos="0" relativeHeight="251661312" behindDoc="0" locked="0" layoutInCell="1" allowOverlap="1">
          <wp:simplePos x="0" y="0"/>
          <wp:positionH relativeFrom="margin">
            <wp:posOffset>3462020</wp:posOffset>
          </wp:positionH>
          <wp:positionV relativeFrom="paragraph">
            <wp:posOffset>-581660</wp:posOffset>
          </wp:positionV>
          <wp:extent cx="1873885" cy="885825"/>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882086" cy="889541"/>
                  </a:xfrm>
                  <a:prstGeom prst="rect">
                    <a:avLst/>
                  </a:prstGeom>
                  <a:noFill/>
                  <a:ln>
                    <a:noFill/>
                  </a:ln>
                </pic:spPr>
              </pic:pic>
            </a:graphicData>
          </a:graphic>
        </wp:anchor>
      </w:drawing>
    </w:r>
    <w:r>
      <w:rPr>
        <w:lang w:eastAsia="fr-FR"/>
      </w:rPr>
      <w:drawing>
        <wp:anchor distT="0" distB="0" distL="114300" distR="114300" simplePos="0" relativeHeight="251659264" behindDoc="0" locked="0" layoutInCell="1" allowOverlap="1">
          <wp:simplePos x="0" y="0"/>
          <wp:positionH relativeFrom="margin">
            <wp:align>left</wp:align>
          </wp:positionH>
          <wp:positionV relativeFrom="paragraph">
            <wp:posOffset>-716915</wp:posOffset>
          </wp:positionV>
          <wp:extent cx="1357630" cy="1228725"/>
          <wp:effectExtent l="0" t="0" r="0" b="0"/>
          <wp:wrapTight wrapText="bothSides">
            <wp:wrapPolygon>
              <wp:start x="1819" y="2009"/>
              <wp:lineTo x="1819" y="19088"/>
              <wp:lineTo x="9396" y="19088"/>
              <wp:lineTo x="7880" y="13730"/>
              <wp:lineTo x="14851" y="13395"/>
              <wp:lineTo x="19398" y="11386"/>
              <wp:lineTo x="19701" y="7367"/>
              <wp:lineTo x="10002" y="2009"/>
              <wp:lineTo x="1819" y="2009"/>
            </wp:wrapPolygon>
          </wp:wrapTight>
          <wp:docPr id="1" name="Image 1"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Mac:Users:xavier.hasendahl:Desktop:ELEMENTS TEMPLATES SIG:LOGOS:REPUBLIQUE_FRANCAISE:eps:Republique_Francaise_CMJN.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57630" cy="1228725"/>
                  </a:xfrm>
                  <a:prstGeom prst="rect">
                    <a:avLst/>
                  </a:prstGeom>
                  <a:noFill/>
                  <a:ln>
                    <a:noFill/>
                  </a:ln>
                </pic:spPr>
              </pic:pic>
            </a:graphicData>
          </a:graphic>
        </wp:anchor>
      </w:drawing>
    </w:r>
  </w:p>
  <w:p w14:paraId="73A9812D">
    <w:pPr>
      <w:pStyle w:val="27"/>
      <w:jc w:val="center"/>
    </w:pPr>
  </w:p>
  <w:p w14:paraId="164DEF09">
    <w:pPr>
      <w:pStyle w:val="27"/>
      <w:jc w:val="center"/>
    </w:pPr>
    <w:r>
      <w:rPr>
        <w:lang w:eastAsia="fr-FR"/>
      </w:rPr>
      <mc:AlternateContent>
        <mc:Choice Requires="wps">
          <w:drawing>
            <wp:anchor distT="0" distB="0" distL="114300" distR="114300" simplePos="0" relativeHeight="251660288" behindDoc="0" locked="0" layoutInCell="1" allowOverlap="1">
              <wp:simplePos x="0" y="0"/>
              <wp:positionH relativeFrom="column">
                <wp:posOffset>6950075</wp:posOffset>
              </wp:positionH>
              <wp:positionV relativeFrom="paragraph">
                <wp:posOffset>15875</wp:posOffset>
              </wp:positionV>
              <wp:extent cx="643255" cy="600710"/>
              <wp:effectExtent l="6350" t="6350" r="7620" b="12065"/>
              <wp:wrapNone/>
              <wp:docPr id="6" name="Rectangle 6"/>
              <wp:cNvGraphicFramePr/>
              <a:graphic xmlns:a="http://schemas.openxmlformats.org/drawingml/2006/main">
                <a:graphicData uri="http://schemas.microsoft.com/office/word/2010/wordprocessingShape">
                  <wps:wsp>
                    <wps:cNvSpPr>
                      <a:spLocks noChangeArrowheads="1"/>
                    </wps:cNvSpPr>
                    <wps:spPr bwMode="auto">
                      <a:xfrm>
                        <a:off x="0" y="0"/>
                        <a:ext cx="643255" cy="60071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47.25pt;margin-top:1.25pt;height:47.3pt;width:50.65pt;z-index:251660288;mso-width-relative:page;mso-height-relative:page;" fillcolor="#FFFFFF" filled="t" stroked="t" coordsize="21600,21600" o:gfxdata="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yeniNcAAAAKAQAADwAAAAAAAAABACAAAAAiAAAAZHJzL2Rvd25yZXYueG1sUEsBAhQAFAAA&#10;AAgAh07iQOj7FEwpAgAAcQQAAA4AAAAAAAAAAQAgAAAAJgEAAGRycy9lMm9Eb2MueG1sUEsFBgAA&#10;AAAGAAYAWQEAAMEFAAAAAA==&#10;">
              <v:fill on="t" focussize="0,0"/>
              <v:stroke color="#000000"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B">
    <w:pPr>
      <w:pStyle w:val="27"/>
      <w:tabs>
        <w:tab w:val="clear" w:pos="4513"/>
        <w:tab w:val="clear" w:pos="9026"/>
      </w:tabs>
      <w:jc w:val="center"/>
      <w:rPr>
        <w:rFonts w:cstheme="minorHAn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D">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798A7"/>
    <w:multiLevelType w:val="singleLevel"/>
    <w:tmpl w:val="BFF798A7"/>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CD7716A5"/>
    <w:multiLevelType w:val="singleLevel"/>
    <w:tmpl w:val="CD7716A5"/>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080437E4"/>
    <w:multiLevelType w:val="multilevel"/>
    <w:tmpl w:val="080437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F511142"/>
    <w:multiLevelType w:val="multilevel"/>
    <w:tmpl w:val="1F5111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96" w:hanging="576"/>
      </w:pPr>
      <w:rPr>
        <w:rFonts w:hint="default"/>
      </w:rPr>
    </w:lvl>
    <w:lvl w:ilvl="2" w:tentative="0">
      <w:start w:val="1"/>
      <w:numFmt w:val="decimal"/>
      <w:pStyle w:val="4"/>
      <w:lvlText w:val="%1.%2.%3"/>
      <w:lvlJc w:val="left"/>
      <w:pPr>
        <w:ind w:left="1021" w:hanging="1021"/>
      </w:pPr>
      <w:rPr>
        <w:rFonts w:hint="default"/>
        <w:b w:val="0"/>
        <w:bCs w:val="0"/>
        <w:i w:val="0"/>
        <w:iCs w:val="0"/>
        <w:caps w:val="0"/>
        <w:smallCaps w:val="0"/>
        <w:strike w:val="0"/>
        <w:dstrike w:val="0"/>
        <w:vanish w:val="0"/>
        <w:color w:val="232253" w:themeColor="text2"/>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2"/>
          </w14:solidFill>
        </w14:textFill>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lowerLetter"/>
      <w:pStyle w:val="5"/>
      <w:lvlText w:val="%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4">
    <w:nsid w:val="21D34A54"/>
    <w:multiLevelType w:val="multilevel"/>
    <w:tmpl w:val="21D34A54"/>
    <w:lvl w:ilvl="0" w:tentative="0">
      <w:start w:val="101"/>
      <w:numFmt w:val="bullet"/>
      <w:pStyle w:val="31"/>
      <w:lvlText w:val="-"/>
      <w:lvlJc w:val="left"/>
      <w:pPr>
        <w:ind w:left="720" w:hanging="360"/>
      </w:pPr>
      <w:rPr>
        <w:rFonts w:hint="default" w:cs="Times New Roman" w:asciiTheme="minorHAnsi" w:hAnsiTheme="minorHAnsi"/>
        <w:color w:val="232253" w:themeColor="text2"/>
        <w14:textFill>
          <w14:solidFill>
            <w14:schemeClr w14:val="tx2"/>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80156E2"/>
    <w:multiLevelType w:val="multilevel"/>
    <w:tmpl w:val="280156E2"/>
    <w:lvl w:ilvl="0" w:tentative="0">
      <w:start w:val="1"/>
      <w:numFmt w:val="decimal"/>
      <w:pStyle w:val="23"/>
      <w:lvlText w:val="%1."/>
      <w:lvlJc w:val="left"/>
      <w:pPr>
        <w:tabs>
          <w:tab w:val="left" w:pos="567"/>
        </w:tabs>
        <w:ind w:left="567" w:hanging="283"/>
      </w:pPr>
      <w:rPr>
        <w:rFonts w:hint="default"/>
        <w:color w:val="232253" w:themeColor="text2"/>
        <w14:textFill>
          <w14:solidFill>
            <w14:schemeClr w14:val="tx2"/>
          </w14:solidFill>
        </w14:textFill>
      </w:rPr>
    </w:lvl>
    <w:lvl w:ilvl="1" w:tentative="0">
      <w:start w:val="1"/>
      <w:numFmt w:val="lowerLetter"/>
      <w:lvlText w:val="%2."/>
      <w:lvlJc w:val="left"/>
      <w:pPr>
        <w:tabs>
          <w:tab w:val="left" w:pos="851"/>
        </w:tabs>
        <w:ind w:left="851" w:hanging="284"/>
      </w:pPr>
      <w:rPr>
        <w:rFonts w:hint="default"/>
        <w:color w:val="5A58BA" w:themeColor="text2" w:themeTint="99"/>
        <w14:textFill>
          <w14:solidFill>
            <w14:schemeClr w14:val="tx2">
              <w14:lumMod w14:val="60000"/>
              <w14:lumOff w14:val="40000"/>
            </w14:schemeClr>
          </w14:solidFill>
        </w14:textFill>
      </w:rPr>
    </w:lvl>
    <w:lvl w:ilvl="2" w:tentative="0">
      <w:start w:val="1"/>
      <w:numFmt w:val="lowerLetter"/>
      <w:lvlText w:val="(%3)"/>
      <w:lvlJc w:val="left"/>
      <w:pPr>
        <w:ind w:left="908" w:hanging="170"/>
      </w:pPr>
      <w:rPr>
        <w:rFonts w:hint="default"/>
      </w:rPr>
    </w:lvl>
    <w:lvl w:ilvl="3" w:tentative="0">
      <w:start w:val="1"/>
      <w:numFmt w:val="lowerRoman"/>
      <w:lvlText w:val="(%4)"/>
      <w:lvlJc w:val="right"/>
      <w:pPr>
        <w:ind w:left="1135" w:hanging="170"/>
      </w:pPr>
      <w:rPr>
        <w:rFonts w:hint="default"/>
      </w:rPr>
    </w:lvl>
    <w:lvl w:ilvl="4" w:tentative="0">
      <w:start w:val="1"/>
      <w:numFmt w:val="decimal"/>
      <w:lvlText w:val="%5)"/>
      <w:lvlJc w:val="left"/>
      <w:pPr>
        <w:ind w:left="1362" w:hanging="170"/>
      </w:pPr>
      <w:rPr>
        <w:rFonts w:hint="default"/>
      </w:rPr>
    </w:lvl>
    <w:lvl w:ilvl="5" w:tentative="0">
      <w:start w:val="1"/>
      <w:numFmt w:val="lowerLetter"/>
      <w:lvlText w:val="%6)"/>
      <w:lvlJc w:val="left"/>
      <w:pPr>
        <w:ind w:left="1589" w:hanging="170"/>
      </w:pPr>
      <w:rPr>
        <w:rFonts w:hint="default"/>
      </w:rPr>
    </w:lvl>
    <w:lvl w:ilvl="6" w:tentative="0">
      <w:start w:val="1"/>
      <w:numFmt w:val="lowerRoman"/>
      <w:lvlText w:val="%7)"/>
      <w:lvlJc w:val="right"/>
      <w:pPr>
        <w:ind w:left="1816" w:hanging="170"/>
      </w:pPr>
      <w:rPr>
        <w:rFonts w:hint="default"/>
      </w:rPr>
    </w:lvl>
    <w:lvl w:ilvl="7" w:tentative="0">
      <w:start w:val="1"/>
      <w:numFmt w:val="lowerLetter"/>
      <w:lvlText w:val="%8."/>
      <w:lvlJc w:val="left"/>
      <w:pPr>
        <w:ind w:left="2043" w:hanging="170"/>
      </w:pPr>
      <w:rPr>
        <w:rFonts w:hint="default"/>
      </w:rPr>
    </w:lvl>
    <w:lvl w:ilvl="8" w:tentative="0">
      <w:start w:val="1"/>
      <w:numFmt w:val="lowerRoman"/>
      <w:lvlText w:val="%9."/>
      <w:lvlJc w:val="right"/>
      <w:pPr>
        <w:ind w:left="2270" w:hanging="170"/>
      </w:pPr>
      <w:rPr>
        <w:rFonts w:hint="default"/>
      </w:rPr>
    </w:lvl>
  </w:abstractNum>
  <w:abstractNum w:abstractNumId="6">
    <w:nsid w:val="3CAFF570"/>
    <w:multiLevelType w:val="singleLevel"/>
    <w:tmpl w:val="3CAFF570"/>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7">
    <w:nsid w:val="42C5492E"/>
    <w:multiLevelType w:val="multilevel"/>
    <w:tmpl w:val="42C5492E"/>
    <w:lvl w:ilvl="0" w:tentative="0">
      <w:start w:val="1"/>
      <w:numFmt w:val="decimal"/>
      <w:lvlText w:val="%1."/>
      <w:lvlJc w:val="left"/>
      <w:pPr>
        <w:tabs>
          <w:tab w:val="left" w:pos="567"/>
        </w:tabs>
        <w:ind w:left="567" w:hanging="283"/>
      </w:pPr>
      <w:rPr>
        <w:rFonts w:hint="default"/>
      </w:rPr>
    </w:lvl>
    <w:lvl w:ilvl="1" w:tentative="0">
      <w:start w:val="1"/>
      <w:numFmt w:val="lowerLetter"/>
      <w:pStyle w:val="28"/>
      <w:lvlText w:val="%2."/>
      <w:lvlJc w:val="left"/>
      <w:pPr>
        <w:tabs>
          <w:tab w:val="left" w:pos="851"/>
        </w:tabs>
        <w:ind w:left="851" w:hanging="284"/>
      </w:pPr>
      <w:rPr>
        <w:rFonts w:hint="default"/>
        <w:color w:val="232253" w:themeColor="text2"/>
        <w14:textFill>
          <w14:solidFill>
            <w14:schemeClr w14:val="tx2"/>
          </w14:solidFill>
        </w14:textFill>
      </w:rPr>
    </w:lvl>
    <w:lvl w:ilvl="2" w:tentative="0">
      <w:start w:val="1"/>
      <w:numFmt w:val="lowerLetter"/>
      <w:lvlText w:val="(%3)"/>
      <w:lvlJc w:val="left"/>
      <w:pPr>
        <w:ind w:left="908" w:hanging="170"/>
      </w:pPr>
      <w:rPr>
        <w:rFonts w:hint="default"/>
      </w:rPr>
    </w:lvl>
    <w:lvl w:ilvl="3" w:tentative="0">
      <w:start w:val="1"/>
      <w:numFmt w:val="lowerRoman"/>
      <w:lvlText w:val="(%4)"/>
      <w:lvlJc w:val="right"/>
      <w:pPr>
        <w:ind w:left="1135" w:hanging="170"/>
      </w:pPr>
      <w:rPr>
        <w:rFonts w:hint="default"/>
      </w:rPr>
    </w:lvl>
    <w:lvl w:ilvl="4" w:tentative="0">
      <w:start w:val="1"/>
      <w:numFmt w:val="decimal"/>
      <w:lvlText w:val="%5)"/>
      <w:lvlJc w:val="left"/>
      <w:pPr>
        <w:ind w:left="1362" w:hanging="170"/>
      </w:pPr>
      <w:rPr>
        <w:rFonts w:hint="default"/>
      </w:rPr>
    </w:lvl>
    <w:lvl w:ilvl="5" w:tentative="0">
      <w:start w:val="1"/>
      <w:numFmt w:val="lowerLetter"/>
      <w:lvlText w:val="%6)"/>
      <w:lvlJc w:val="left"/>
      <w:pPr>
        <w:ind w:left="1589" w:hanging="170"/>
      </w:pPr>
      <w:rPr>
        <w:rFonts w:hint="default"/>
      </w:rPr>
    </w:lvl>
    <w:lvl w:ilvl="6" w:tentative="0">
      <w:start w:val="1"/>
      <w:numFmt w:val="lowerRoman"/>
      <w:lvlText w:val="%7)"/>
      <w:lvlJc w:val="right"/>
      <w:pPr>
        <w:ind w:left="1816" w:hanging="170"/>
      </w:pPr>
      <w:rPr>
        <w:rFonts w:hint="default"/>
      </w:rPr>
    </w:lvl>
    <w:lvl w:ilvl="7" w:tentative="0">
      <w:start w:val="1"/>
      <w:numFmt w:val="lowerLetter"/>
      <w:lvlText w:val="%8."/>
      <w:lvlJc w:val="left"/>
      <w:pPr>
        <w:ind w:left="2043" w:hanging="170"/>
      </w:pPr>
      <w:rPr>
        <w:rFonts w:hint="default"/>
      </w:rPr>
    </w:lvl>
    <w:lvl w:ilvl="8" w:tentative="0">
      <w:start w:val="1"/>
      <w:numFmt w:val="lowerRoman"/>
      <w:lvlText w:val="%9."/>
      <w:lvlJc w:val="right"/>
      <w:pPr>
        <w:ind w:left="2270" w:hanging="170"/>
      </w:pPr>
      <w:rPr>
        <w:rFonts w:hint="default"/>
      </w:rPr>
    </w:lvl>
  </w:abstractNum>
  <w:abstractNum w:abstractNumId="8">
    <w:nsid w:val="50604B5D"/>
    <w:multiLevelType w:val="multilevel"/>
    <w:tmpl w:val="50604B5D"/>
    <w:lvl w:ilvl="0" w:tentative="0">
      <w:start w:val="1"/>
      <w:numFmt w:val="decimal"/>
      <w:pStyle w:val="36"/>
      <w:lvlText w:val="Article %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07368FD"/>
    <w:multiLevelType w:val="multilevel"/>
    <w:tmpl w:val="607368FD"/>
    <w:lvl w:ilvl="0" w:tentative="0">
      <w:start w:val="101"/>
      <w:numFmt w:val="bullet"/>
      <w:pStyle w:val="18"/>
      <w:lvlText w:val="-"/>
      <w:lvlJc w:val="left"/>
      <w:pPr>
        <w:ind w:left="1852" w:hanging="360"/>
      </w:pPr>
      <w:rPr>
        <w:rFonts w:hint="default" w:cs="Times New Roman" w:asciiTheme="minorHAnsi" w:hAnsiTheme="minorHAnsi"/>
        <w:color w:val="232253" w:themeColor="text2"/>
        <w14:textFill>
          <w14:solidFill>
            <w14:schemeClr w14:val="tx2"/>
          </w14:solidFill>
        </w14:textFill>
      </w:rPr>
    </w:lvl>
    <w:lvl w:ilvl="1" w:tentative="0">
      <w:start w:val="1"/>
      <w:numFmt w:val="bullet"/>
      <w:lvlText w:val="o"/>
      <w:lvlJc w:val="left"/>
      <w:pPr>
        <w:ind w:left="2572" w:hanging="360"/>
      </w:pPr>
      <w:rPr>
        <w:rFonts w:hint="default" w:ascii="Courier New" w:hAnsi="Courier New" w:cs="Courier New"/>
      </w:rPr>
    </w:lvl>
    <w:lvl w:ilvl="2" w:tentative="0">
      <w:start w:val="1"/>
      <w:numFmt w:val="bullet"/>
      <w:lvlText w:val=""/>
      <w:lvlJc w:val="left"/>
      <w:pPr>
        <w:ind w:left="3292" w:hanging="360"/>
      </w:pPr>
      <w:rPr>
        <w:rFonts w:hint="default" w:ascii="Wingdings" w:hAnsi="Wingdings"/>
      </w:rPr>
    </w:lvl>
    <w:lvl w:ilvl="3" w:tentative="0">
      <w:start w:val="1"/>
      <w:numFmt w:val="bullet"/>
      <w:lvlText w:val=""/>
      <w:lvlJc w:val="left"/>
      <w:pPr>
        <w:ind w:left="4012" w:hanging="360"/>
      </w:pPr>
      <w:rPr>
        <w:rFonts w:hint="default" w:ascii="Symbol" w:hAnsi="Symbol"/>
      </w:rPr>
    </w:lvl>
    <w:lvl w:ilvl="4" w:tentative="0">
      <w:start w:val="1"/>
      <w:numFmt w:val="bullet"/>
      <w:lvlText w:val="o"/>
      <w:lvlJc w:val="left"/>
      <w:pPr>
        <w:ind w:left="4732" w:hanging="360"/>
      </w:pPr>
      <w:rPr>
        <w:rFonts w:hint="default" w:ascii="Courier New" w:hAnsi="Courier New" w:cs="Courier New"/>
      </w:rPr>
    </w:lvl>
    <w:lvl w:ilvl="5" w:tentative="0">
      <w:start w:val="1"/>
      <w:numFmt w:val="bullet"/>
      <w:lvlText w:val=""/>
      <w:lvlJc w:val="left"/>
      <w:pPr>
        <w:ind w:left="5452" w:hanging="360"/>
      </w:pPr>
      <w:rPr>
        <w:rFonts w:hint="default" w:ascii="Wingdings" w:hAnsi="Wingdings"/>
      </w:rPr>
    </w:lvl>
    <w:lvl w:ilvl="6" w:tentative="0">
      <w:start w:val="1"/>
      <w:numFmt w:val="bullet"/>
      <w:lvlText w:val=""/>
      <w:lvlJc w:val="left"/>
      <w:pPr>
        <w:ind w:left="6172" w:hanging="360"/>
      </w:pPr>
      <w:rPr>
        <w:rFonts w:hint="default" w:ascii="Symbol" w:hAnsi="Symbol"/>
      </w:rPr>
    </w:lvl>
    <w:lvl w:ilvl="7" w:tentative="0">
      <w:start w:val="1"/>
      <w:numFmt w:val="bullet"/>
      <w:lvlText w:val="o"/>
      <w:lvlJc w:val="left"/>
      <w:pPr>
        <w:ind w:left="6892" w:hanging="360"/>
      </w:pPr>
      <w:rPr>
        <w:rFonts w:hint="default" w:ascii="Courier New" w:hAnsi="Courier New" w:cs="Courier New"/>
      </w:rPr>
    </w:lvl>
    <w:lvl w:ilvl="8" w:tentative="0">
      <w:start w:val="1"/>
      <w:numFmt w:val="bullet"/>
      <w:lvlText w:val=""/>
      <w:lvlJc w:val="left"/>
      <w:pPr>
        <w:ind w:left="7612" w:hanging="360"/>
      </w:pPr>
      <w:rPr>
        <w:rFonts w:hint="default" w:ascii="Wingdings" w:hAnsi="Wingdings"/>
      </w:rPr>
    </w:lvl>
  </w:abstractNum>
  <w:abstractNum w:abstractNumId="10">
    <w:nsid w:val="6B34B34E"/>
    <w:multiLevelType w:val="singleLevel"/>
    <w:tmpl w:val="6B34B34E"/>
    <w:lvl w:ilvl="0" w:tentative="0">
      <w:start w:val="1"/>
      <w:numFmt w:val="decimal"/>
      <w:lvlText w:val="%1."/>
      <w:lvlJc w:val="left"/>
      <w:pPr>
        <w:tabs>
          <w:tab w:val="left" w:pos="425"/>
        </w:tabs>
        <w:ind w:left="425" w:leftChars="0" w:hanging="425" w:firstLineChars="0"/>
      </w:pPr>
      <w:rPr>
        <w:rFonts w:hint="default"/>
      </w:rPr>
    </w:lvl>
  </w:abstractNum>
  <w:abstractNum w:abstractNumId="11">
    <w:nsid w:val="6CAC5430"/>
    <w:multiLevelType w:val="multilevel"/>
    <w:tmpl w:val="6CAC5430"/>
    <w:lvl w:ilvl="0" w:tentative="0">
      <w:start w:val="1"/>
      <w:numFmt w:val="bullet"/>
      <w:pStyle w:val="17"/>
      <w:lvlText w:val=""/>
      <w:lvlJc w:val="left"/>
      <w:pPr>
        <w:ind w:left="1353" w:hanging="360"/>
      </w:pPr>
      <w:rPr>
        <w:rFonts w:hint="default" w:ascii="Wingdings" w:hAnsi="Wingdings"/>
        <w:color w:val="232253" w:themeColor="text2"/>
        <w:sz w:val="16"/>
        <w14:textFill>
          <w14:solidFill>
            <w14:schemeClr w14:val="tx2"/>
          </w14:solidFill>
        </w14:textFill>
      </w:rPr>
    </w:lvl>
    <w:lvl w:ilvl="1" w:tentative="0">
      <w:start w:val="1"/>
      <w:numFmt w:val="bullet"/>
      <w:lvlText w:val="o"/>
      <w:lvlJc w:val="left"/>
      <w:pPr>
        <w:ind w:left="2073" w:hanging="360"/>
      </w:pPr>
      <w:rPr>
        <w:rFonts w:hint="default" w:ascii="Courier New" w:hAnsi="Courier New" w:cs="Courier New"/>
      </w:rPr>
    </w:lvl>
    <w:lvl w:ilvl="2" w:tentative="0">
      <w:start w:val="1"/>
      <w:numFmt w:val="bullet"/>
      <w:lvlText w:val=""/>
      <w:lvlJc w:val="left"/>
      <w:pPr>
        <w:ind w:left="2793" w:hanging="360"/>
      </w:pPr>
      <w:rPr>
        <w:rFonts w:hint="default" w:ascii="Wingdings" w:hAnsi="Wingdings"/>
      </w:rPr>
    </w:lvl>
    <w:lvl w:ilvl="3" w:tentative="0">
      <w:start w:val="1"/>
      <w:numFmt w:val="bullet"/>
      <w:lvlText w:val=""/>
      <w:lvlJc w:val="left"/>
      <w:pPr>
        <w:ind w:left="3513" w:hanging="360"/>
      </w:pPr>
      <w:rPr>
        <w:rFonts w:hint="default" w:ascii="Symbol" w:hAnsi="Symbol"/>
      </w:rPr>
    </w:lvl>
    <w:lvl w:ilvl="4" w:tentative="0">
      <w:start w:val="1"/>
      <w:numFmt w:val="bullet"/>
      <w:lvlText w:val="o"/>
      <w:lvlJc w:val="left"/>
      <w:pPr>
        <w:ind w:left="4233" w:hanging="360"/>
      </w:pPr>
      <w:rPr>
        <w:rFonts w:hint="default" w:ascii="Courier New" w:hAnsi="Courier New" w:cs="Courier New"/>
      </w:rPr>
    </w:lvl>
    <w:lvl w:ilvl="5" w:tentative="0">
      <w:start w:val="1"/>
      <w:numFmt w:val="bullet"/>
      <w:lvlText w:val=""/>
      <w:lvlJc w:val="left"/>
      <w:pPr>
        <w:ind w:left="4953" w:hanging="360"/>
      </w:pPr>
      <w:rPr>
        <w:rFonts w:hint="default" w:ascii="Wingdings" w:hAnsi="Wingdings"/>
      </w:rPr>
    </w:lvl>
    <w:lvl w:ilvl="6" w:tentative="0">
      <w:start w:val="1"/>
      <w:numFmt w:val="bullet"/>
      <w:lvlText w:val=""/>
      <w:lvlJc w:val="left"/>
      <w:pPr>
        <w:ind w:left="5673" w:hanging="360"/>
      </w:pPr>
      <w:rPr>
        <w:rFonts w:hint="default" w:ascii="Symbol" w:hAnsi="Symbol"/>
      </w:rPr>
    </w:lvl>
    <w:lvl w:ilvl="7" w:tentative="0">
      <w:start w:val="1"/>
      <w:numFmt w:val="bullet"/>
      <w:lvlText w:val="o"/>
      <w:lvlJc w:val="left"/>
      <w:pPr>
        <w:ind w:left="6393" w:hanging="360"/>
      </w:pPr>
      <w:rPr>
        <w:rFonts w:hint="default" w:ascii="Courier New" w:hAnsi="Courier New" w:cs="Courier New"/>
      </w:rPr>
    </w:lvl>
    <w:lvl w:ilvl="8" w:tentative="0">
      <w:start w:val="1"/>
      <w:numFmt w:val="bullet"/>
      <w:lvlText w:val=""/>
      <w:lvlJc w:val="left"/>
      <w:pPr>
        <w:ind w:left="7113" w:hanging="360"/>
      </w:pPr>
      <w:rPr>
        <w:rFonts w:hint="default" w:ascii="Wingdings" w:hAnsi="Wingdings"/>
      </w:rPr>
    </w:lvl>
  </w:abstractNum>
  <w:num w:numId="1">
    <w:abstractNumId w:val="3"/>
  </w:num>
  <w:num w:numId="2">
    <w:abstractNumId w:val="11"/>
  </w:num>
  <w:num w:numId="3">
    <w:abstractNumId w:val="9"/>
  </w:num>
  <w:num w:numId="4">
    <w:abstractNumId w:val="5"/>
  </w:num>
  <w:num w:numId="5">
    <w:abstractNumId w:val="7"/>
  </w:num>
  <w:num w:numId="6">
    <w:abstractNumId w:val="4"/>
  </w:num>
  <w:num w:numId="7">
    <w:abstractNumId w:val="8"/>
  </w:num>
  <w:num w:numId="8">
    <w:abstractNumId w:val="10"/>
  </w:num>
  <w:num w:numId="9">
    <w:abstractNumId w:val="6"/>
  </w:num>
  <w:num w:numId="10">
    <w:abstractNumId w:val="0"/>
  </w:num>
  <w:num w:numId="11">
    <w:abstractNumId w:val="1"/>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616"/>
    <w:rsid w:val="000034A0"/>
    <w:rsid w:val="0002063F"/>
    <w:rsid w:val="000260DC"/>
    <w:rsid w:val="00027AFD"/>
    <w:rsid w:val="000340BB"/>
    <w:rsid w:val="000365DC"/>
    <w:rsid w:val="000554E2"/>
    <w:rsid w:val="00055F8C"/>
    <w:rsid w:val="000818B3"/>
    <w:rsid w:val="0009122A"/>
    <w:rsid w:val="00093222"/>
    <w:rsid w:val="00094983"/>
    <w:rsid w:val="000951F8"/>
    <w:rsid w:val="000A2368"/>
    <w:rsid w:val="000B3978"/>
    <w:rsid w:val="000B4E1F"/>
    <w:rsid w:val="000B6B46"/>
    <w:rsid w:val="000C2EA9"/>
    <w:rsid w:val="000C7AD3"/>
    <w:rsid w:val="000D0586"/>
    <w:rsid w:val="000D4E65"/>
    <w:rsid w:val="000E2741"/>
    <w:rsid w:val="000E4868"/>
    <w:rsid w:val="000F0B22"/>
    <w:rsid w:val="000F310C"/>
    <w:rsid w:val="000F4D7E"/>
    <w:rsid w:val="000F7866"/>
    <w:rsid w:val="00106299"/>
    <w:rsid w:val="00111B98"/>
    <w:rsid w:val="00114B97"/>
    <w:rsid w:val="00117EA9"/>
    <w:rsid w:val="001217C3"/>
    <w:rsid w:val="00125502"/>
    <w:rsid w:val="00131C59"/>
    <w:rsid w:val="001357A6"/>
    <w:rsid w:val="00136FCA"/>
    <w:rsid w:val="0014322C"/>
    <w:rsid w:val="00152FF0"/>
    <w:rsid w:val="0015601B"/>
    <w:rsid w:val="00161129"/>
    <w:rsid w:val="00163764"/>
    <w:rsid w:val="00164042"/>
    <w:rsid w:val="001702C1"/>
    <w:rsid w:val="00170382"/>
    <w:rsid w:val="0017559C"/>
    <w:rsid w:val="00177BF0"/>
    <w:rsid w:val="00183847"/>
    <w:rsid w:val="001A3E94"/>
    <w:rsid w:val="001B499D"/>
    <w:rsid w:val="001B58F1"/>
    <w:rsid w:val="001C09F2"/>
    <w:rsid w:val="001C44BE"/>
    <w:rsid w:val="001C6F0C"/>
    <w:rsid w:val="001D3C9F"/>
    <w:rsid w:val="001D610A"/>
    <w:rsid w:val="001E296D"/>
    <w:rsid w:val="001E5E84"/>
    <w:rsid w:val="001F36A6"/>
    <w:rsid w:val="001F691B"/>
    <w:rsid w:val="0020115C"/>
    <w:rsid w:val="00206E9F"/>
    <w:rsid w:val="0020741E"/>
    <w:rsid w:val="0021350A"/>
    <w:rsid w:val="002238D5"/>
    <w:rsid w:val="002240C8"/>
    <w:rsid w:val="00235163"/>
    <w:rsid w:val="002412E7"/>
    <w:rsid w:val="00261A57"/>
    <w:rsid w:val="002625F0"/>
    <w:rsid w:val="0026271F"/>
    <w:rsid w:val="00271015"/>
    <w:rsid w:val="00284ABB"/>
    <w:rsid w:val="0028555C"/>
    <w:rsid w:val="0029441C"/>
    <w:rsid w:val="002A37B0"/>
    <w:rsid w:val="002A6297"/>
    <w:rsid w:val="002B1F21"/>
    <w:rsid w:val="002C71AC"/>
    <w:rsid w:val="002D0AB0"/>
    <w:rsid w:val="002D2CAD"/>
    <w:rsid w:val="002D4C9C"/>
    <w:rsid w:val="002E03E6"/>
    <w:rsid w:val="002E4781"/>
    <w:rsid w:val="002E5DA4"/>
    <w:rsid w:val="002F077C"/>
    <w:rsid w:val="002F0880"/>
    <w:rsid w:val="002F4215"/>
    <w:rsid w:val="002F43D6"/>
    <w:rsid w:val="002F514C"/>
    <w:rsid w:val="003052EB"/>
    <w:rsid w:val="00310E33"/>
    <w:rsid w:val="00320C6C"/>
    <w:rsid w:val="00332005"/>
    <w:rsid w:val="003338E3"/>
    <w:rsid w:val="003412BB"/>
    <w:rsid w:val="00355280"/>
    <w:rsid w:val="00367C43"/>
    <w:rsid w:val="00375E2A"/>
    <w:rsid w:val="0037674B"/>
    <w:rsid w:val="00385DF5"/>
    <w:rsid w:val="00397A0F"/>
    <w:rsid w:val="003A1E6B"/>
    <w:rsid w:val="003B0969"/>
    <w:rsid w:val="003B1132"/>
    <w:rsid w:val="003B1F7C"/>
    <w:rsid w:val="003B2063"/>
    <w:rsid w:val="003E7DDC"/>
    <w:rsid w:val="003F01CD"/>
    <w:rsid w:val="003F1F4A"/>
    <w:rsid w:val="003F29A2"/>
    <w:rsid w:val="003F39CC"/>
    <w:rsid w:val="003F473F"/>
    <w:rsid w:val="00410E9F"/>
    <w:rsid w:val="00417039"/>
    <w:rsid w:val="00440D7B"/>
    <w:rsid w:val="00441B27"/>
    <w:rsid w:val="00442BEA"/>
    <w:rsid w:val="00447F82"/>
    <w:rsid w:val="00457098"/>
    <w:rsid w:val="004603BA"/>
    <w:rsid w:val="0046072B"/>
    <w:rsid w:val="00476D8A"/>
    <w:rsid w:val="004971F2"/>
    <w:rsid w:val="004A158B"/>
    <w:rsid w:val="004A1B81"/>
    <w:rsid w:val="004A6DA9"/>
    <w:rsid w:val="004B39AF"/>
    <w:rsid w:val="004C0954"/>
    <w:rsid w:val="004C24BB"/>
    <w:rsid w:val="004D22A4"/>
    <w:rsid w:val="004D4069"/>
    <w:rsid w:val="004D719B"/>
    <w:rsid w:val="004E2CD9"/>
    <w:rsid w:val="004E6690"/>
    <w:rsid w:val="005024D1"/>
    <w:rsid w:val="00506D77"/>
    <w:rsid w:val="0051541A"/>
    <w:rsid w:val="00520ADE"/>
    <w:rsid w:val="00522A8C"/>
    <w:rsid w:val="00542025"/>
    <w:rsid w:val="00583195"/>
    <w:rsid w:val="00597A44"/>
    <w:rsid w:val="005A550E"/>
    <w:rsid w:val="005B5858"/>
    <w:rsid w:val="005D185B"/>
    <w:rsid w:val="005D1C95"/>
    <w:rsid w:val="005D7616"/>
    <w:rsid w:val="005D789E"/>
    <w:rsid w:val="005D7DFB"/>
    <w:rsid w:val="005E02E2"/>
    <w:rsid w:val="005E6217"/>
    <w:rsid w:val="005F5154"/>
    <w:rsid w:val="00602789"/>
    <w:rsid w:val="00604C65"/>
    <w:rsid w:val="006148EA"/>
    <w:rsid w:val="0062121C"/>
    <w:rsid w:val="00625D24"/>
    <w:rsid w:val="0063168F"/>
    <w:rsid w:val="00635794"/>
    <w:rsid w:val="00637E88"/>
    <w:rsid w:val="0064069D"/>
    <w:rsid w:val="00642401"/>
    <w:rsid w:val="00657A81"/>
    <w:rsid w:val="0066113B"/>
    <w:rsid w:val="006706D0"/>
    <w:rsid w:val="00670DFA"/>
    <w:rsid w:val="00677172"/>
    <w:rsid w:val="006853FE"/>
    <w:rsid w:val="00695F66"/>
    <w:rsid w:val="006A24A2"/>
    <w:rsid w:val="006B3ECA"/>
    <w:rsid w:val="006B7DD0"/>
    <w:rsid w:val="006E31CE"/>
    <w:rsid w:val="006E631B"/>
    <w:rsid w:val="006E7A02"/>
    <w:rsid w:val="006F3324"/>
    <w:rsid w:val="006F5701"/>
    <w:rsid w:val="007011CC"/>
    <w:rsid w:val="00703A1A"/>
    <w:rsid w:val="00710122"/>
    <w:rsid w:val="007117D1"/>
    <w:rsid w:val="00733A89"/>
    <w:rsid w:val="00736BC6"/>
    <w:rsid w:val="00741F9A"/>
    <w:rsid w:val="00755B80"/>
    <w:rsid w:val="0076067A"/>
    <w:rsid w:val="00771A3F"/>
    <w:rsid w:val="00774B01"/>
    <w:rsid w:val="0079138B"/>
    <w:rsid w:val="00794423"/>
    <w:rsid w:val="007A13D2"/>
    <w:rsid w:val="007A2454"/>
    <w:rsid w:val="007A2C95"/>
    <w:rsid w:val="007A5A9B"/>
    <w:rsid w:val="007A66A2"/>
    <w:rsid w:val="007B1298"/>
    <w:rsid w:val="007D1590"/>
    <w:rsid w:val="007D494B"/>
    <w:rsid w:val="007D49DE"/>
    <w:rsid w:val="007D7046"/>
    <w:rsid w:val="007E2A83"/>
    <w:rsid w:val="007E543A"/>
    <w:rsid w:val="007E5FC7"/>
    <w:rsid w:val="007E6BF9"/>
    <w:rsid w:val="00800B27"/>
    <w:rsid w:val="008131FE"/>
    <w:rsid w:val="0081432F"/>
    <w:rsid w:val="008160DE"/>
    <w:rsid w:val="00820704"/>
    <w:rsid w:val="00830277"/>
    <w:rsid w:val="00830FE2"/>
    <w:rsid w:val="008312F9"/>
    <w:rsid w:val="008349E9"/>
    <w:rsid w:val="00834FAF"/>
    <w:rsid w:val="00835857"/>
    <w:rsid w:val="00845393"/>
    <w:rsid w:val="00851DE8"/>
    <w:rsid w:val="008628CA"/>
    <w:rsid w:val="00863B37"/>
    <w:rsid w:val="00870376"/>
    <w:rsid w:val="00880C3A"/>
    <w:rsid w:val="00887262"/>
    <w:rsid w:val="00893D02"/>
    <w:rsid w:val="008940F0"/>
    <w:rsid w:val="0089748F"/>
    <w:rsid w:val="008B7531"/>
    <w:rsid w:val="008C6EBD"/>
    <w:rsid w:val="008D30EC"/>
    <w:rsid w:val="008D5B6F"/>
    <w:rsid w:val="008F7EE5"/>
    <w:rsid w:val="00904850"/>
    <w:rsid w:val="009133AB"/>
    <w:rsid w:val="009162B0"/>
    <w:rsid w:val="00920AAF"/>
    <w:rsid w:val="00941B2B"/>
    <w:rsid w:val="00953020"/>
    <w:rsid w:val="00954728"/>
    <w:rsid w:val="00954BB0"/>
    <w:rsid w:val="00963517"/>
    <w:rsid w:val="009767EB"/>
    <w:rsid w:val="00995078"/>
    <w:rsid w:val="00995757"/>
    <w:rsid w:val="009A219D"/>
    <w:rsid w:val="009A5E96"/>
    <w:rsid w:val="009A76B5"/>
    <w:rsid w:val="009A7A64"/>
    <w:rsid w:val="009B4F8C"/>
    <w:rsid w:val="009B6439"/>
    <w:rsid w:val="009B6A94"/>
    <w:rsid w:val="009C2E2C"/>
    <w:rsid w:val="009D2423"/>
    <w:rsid w:val="009D27F0"/>
    <w:rsid w:val="009F2094"/>
    <w:rsid w:val="009F321E"/>
    <w:rsid w:val="009F4145"/>
    <w:rsid w:val="009F5087"/>
    <w:rsid w:val="009F63FC"/>
    <w:rsid w:val="009F695E"/>
    <w:rsid w:val="00A03107"/>
    <w:rsid w:val="00A03A94"/>
    <w:rsid w:val="00A133B1"/>
    <w:rsid w:val="00A14888"/>
    <w:rsid w:val="00A15243"/>
    <w:rsid w:val="00A175FA"/>
    <w:rsid w:val="00A22D00"/>
    <w:rsid w:val="00A249F5"/>
    <w:rsid w:val="00A265CA"/>
    <w:rsid w:val="00A36C3C"/>
    <w:rsid w:val="00A37685"/>
    <w:rsid w:val="00A43ED8"/>
    <w:rsid w:val="00A54D25"/>
    <w:rsid w:val="00A55B02"/>
    <w:rsid w:val="00A55E05"/>
    <w:rsid w:val="00A92BF8"/>
    <w:rsid w:val="00AA0E58"/>
    <w:rsid w:val="00AB1226"/>
    <w:rsid w:val="00AE2F96"/>
    <w:rsid w:val="00AF6877"/>
    <w:rsid w:val="00B0261C"/>
    <w:rsid w:val="00B04374"/>
    <w:rsid w:val="00B218AE"/>
    <w:rsid w:val="00B2568E"/>
    <w:rsid w:val="00B53DBD"/>
    <w:rsid w:val="00B54E6F"/>
    <w:rsid w:val="00B610DA"/>
    <w:rsid w:val="00B81314"/>
    <w:rsid w:val="00B879AE"/>
    <w:rsid w:val="00B9284F"/>
    <w:rsid w:val="00B94D7A"/>
    <w:rsid w:val="00BA0AB9"/>
    <w:rsid w:val="00BA6038"/>
    <w:rsid w:val="00BA6683"/>
    <w:rsid w:val="00BB0D44"/>
    <w:rsid w:val="00BB3EC0"/>
    <w:rsid w:val="00BB6106"/>
    <w:rsid w:val="00BC25D0"/>
    <w:rsid w:val="00BD65B1"/>
    <w:rsid w:val="00BE0C2B"/>
    <w:rsid w:val="00BE17C5"/>
    <w:rsid w:val="00BF37B0"/>
    <w:rsid w:val="00BF3C77"/>
    <w:rsid w:val="00BF6606"/>
    <w:rsid w:val="00C058DA"/>
    <w:rsid w:val="00C07028"/>
    <w:rsid w:val="00C24377"/>
    <w:rsid w:val="00C27764"/>
    <w:rsid w:val="00C30744"/>
    <w:rsid w:val="00C30EB4"/>
    <w:rsid w:val="00C35C90"/>
    <w:rsid w:val="00C36656"/>
    <w:rsid w:val="00C5622F"/>
    <w:rsid w:val="00C756EC"/>
    <w:rsid w:val="00CB62F0"/>
    <w:rsid w:val="00CB6572"/>
    <w:rsid w:val="00CE549F"/>
    <w:rsid w:val="00CF274C"/>
    <w:rsid w:val="00CF3CBF"/>
    <w:rsid w:val="00CF689B"/>
    <w:rsid w:val="00D02982"/>
    <w:rsid w:val="00D03383"/>
    <w:rsid w:val="00D03EE3"/>
    <w:rsid w:val="00D05B90"/>
    <w:rsid w:val="00D10DBF"/>
    <w:rsid w:val="00D1613D"/>
    <w:rsid w:val="00D3129C"/>
    <w:rsid w:val="00D375A2"/>
    <w:rsid w:val="00D40291"/>
    <w:rsid w:val="00D44FCC"/>
    <w:rsid w:val="00D4666F"/>
    <w:rsid w:val="00D507E9"/>
    <w:rsid w:val="00D52959"/>
    <w:rsid w:val="00D61C6B"/>
    <w:rsid w:val="00D70ABB"/>
    <w:rsid w:val="00D73825"/>
    <w:rsid w:val="00D839C4"/>
    <w:rsid w:val="00D93AA4"/>
    <w:rsid w:val="00DA0517"/>
    <w:rsid w:val="00DA0E4C"/>
    <w:rsid w:val="00DA165E"/>
    <w:rsid w:val="00DA693E"/>
    <w:rsid w:val="00DA6C89"/>
    <w:rsid w:val="00DB547B"/>
    <w:rsid w:val="00DB72C5"/>
    <w:rsid w:val="00DE1985"/>
    <w:rsid w:val="00DE401B"/>
    <w:rsid w:val="00E03CA1"/>
    <w:rsid w:val="00E14985"/>
    <w:rsid w:val="00E1542A"/>
    <w:rsid w:val="00E245C6"/>
    <w:rsid w:val="00E339EB"/>
    <w:rsid w:val="00E3744C"/>
    <w:rsid w:val="00E5100C"/>
    <w:rsid w:val="00E66FFA"/>
    <w:rsid w:val="00E70400"/>
    <w:rsid w:val="00E812B0"/>
    <w:rsid w:val="00E83D82"/>
    <w:rsid w:val="00E83F8C"/>
    <w:rsid w:val="00E857AA"/>
    <w:rsid w:val="00E95451"/>
    <w:rsid w:val="00E954DF"/>
    <w:rsid w:val="00EA7196"/>
    <w:rsid w:val="00EC32C3"/>
    <w:rsid w:val="00ED2CD7"/>
    <w:rsid w:val="00EF28B9"/>
    <w:rsid w:val="00EF2CF8"/>
    <w:rsid w:val="00EF3B46"/>
    <w:rsid w:val="00F0364E"/>
    <w:rsid w:val="00F04685"/>
    <w:rsid w:val="00F0512E"/>
    <w:rsid w:val="00F10FAC"/>
    <w:rsid w:val="00F24A86"/>
    <w:rsid w:val="00F27EB8"/>
    <w:rsid w:val="00F32011"/>
    <w:rsid w:val="00F454D9"/>
    <w:rsid w:val="00F55AA0"/>
    <w:rsid w:val="00F62E65"/>
    <w:rsid w:val="00F636BA"/>
    <w:rsid w:val="00F71E02"/>
    <w:rsid w:val="00F775B3"/>
    <w:rsid w:val="00F810A6"/>
    <w:rsid w:val="00F829B8"/>
    <w:rsid w:val="00F92209"/>
    <w:rsid w:val="00FA603C"/>
    <w:rsid w:val="00FB687D"/>
    <w:rsid w:val="00FE551E"/>
    <w:rsid w:val="00FF2AD3"/>
    <w:rsid w:val="00FF5955"/>
    <w:rsid w:val="01952C52"/>
    <w:rsid w:val="04D91563"/>
    <w:rsid w:val="09EC0A4A"/>
    <w:rsid w:val="0F9B74B2"/>
    <w:rsid w:val="117D67C0"/>
    <w:rsid w:val="19C3789A"/>
    <w:rsid w:val="1AC25A15"/>
    <w:rsid w:val="1AE272D2"/>
    <w:rsid w:val="21366968"/>
    <w:rsid w:val="272651C2"/>
    <w:rsid w:val="27E070EF"/>
    <w:rsid w:val="2BC559FC"/>
    <w:rsid w:val="2E285FCA"/>
    <w:rsid w:val="2E3141FD"/>
    <w:rsid w:val="32313C58"/>
    <w:rsid w:val="37D02F7D"/>
    <w:rsid w:val="438A208A"/>
    <w:rsid w:val="4E4D3BB4"/>
    <w:rsid w:val="5054584C"/>
    <w:rsid w:val="51A37BD7"/>
    <w:rsid w:val="66514B37"/>
    <w:rsid w:val="66D27FC1"/>
    <w:rsid w:val="67140181"/>
    <w:rsid w:val="67936E03"/>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6" w:semiHidden="0" w:name="heading 1"/>
    <w:lsdException w:qFormat="1" w:unhideWhenUsed="0" w:uiPriority="6" w:semiHidden="0" w:name="heading 2"/>
    <w:lsdException w:qFormat="1" w:unhideWhenUsed="0" w:uiPriority="6" w:semiHidden="0" w:name="heading 3"/>
    <w:lsdException w:qFormat="1" w:uiPriority="6" w:semiHidden="0" w:name="heading 4"/>
    <w:lsdException w:qFormat="1" w:uiPriority="6" w:semiHidden="0" w:name="heading 5"/>
    <w:lsdException w:qFormat="1" w:uiPriority="6" w:name="heading 6"/>
    <w:lsdException w:qFormat="1" w:uiPriority="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nhideWhenUsed="0" w:uiPriority="17" w:semiHidden="0" w:name="footer"/>
    <w:lsdException w:uiPriority="99" w:name="index heading"/>
    <w:lsdException w:qFormat="1" w:unhideWhenUsed="0" w:uiPriority="25" w:semiHidden="0" w:name="caption"/>
    <w:lsdException w:qFormat="1" w:uiPriority="99" w:semiHidden="0" w:name="table of figures"/>
    <w:lsdException w:uiPriority="99" w:name="envelope address"/>
    <w:lsdException w:uiPriority="99" w:name="envelope return"/>
    <w:lsdException w:qFormat="1" w:unhideWhenUsed="0" w:uiPriority="28"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11" w:semiHidden="0" w:name="List Bullet"/>
    <w:lsdException w:qFormat="1" w:unhideWhenUsed="0" w:uiPriority="13" w:semiHidden="0" w:name="List Number"/>
    <w:lsdException w:uiPriority="99" w:name="List 2"/>
    <w:lsdException w:uiPriority="99" w:name="List 3"/>
    <w:lsdException w:uiPriority="99" w:name="List 4"/>
    <w:lsdException w:uiPriority="99" w:name="List 5"/>
    <w:lsdException w:qFormat="1" w:unhideWhenUsed="0" w:uiPriority="12" w:semiHidden="0" w:name="List Bullet 2"/>
    <w:lsdException w:uiPriority="99" w:name="List Bullet 3"/>
    <w:lsdException w:uiPriority="99" w:name="List Bullet 4"/>
    <w:lsdException w:uiPriority="99" w:name="List Bullet 5"/>
    <w:lsdException w:qFormat="1" w:uiPriority="14" w:semiHidden="0" w:name="List Number 2"/>
    <w:lsdException w:uiPriority="99" w:name="List Number 3"/>
    <w:lsdException w:uiPriority="99" w:name="List Number 4"/>
    <w:lsdException w:uiPriority="99" w:name="List Number 5"/>
    <w:lsdException w:qFormat="1" w:unhideWhenUsed="0" w:uiPriority="4" w:semiHidden="0" w:name="Title"/>
    <w:lsdException w:uiPriority="99" w:name="Closing"/>
    <w:lsdException w:qFormat="1" w:unhideWhenUsed="0" w:uiPriority="5"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5"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39" w:semiHidden="0" w:name="Strong"/>
    <w:lsdException w:qFormat="1" w:unhideWhenUsed="0" w:uiPriority="27"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qFormat="1" w:unhideWhenUsed="0" w:uiPriority="0" w:semiHidden="0" w:name="Table Columns 4"/>
    <w:lsdException w:qFormat="1" w:uiPriority="99" w:name="Balloon Text"/>
    <w:lsdException w:qFormat="1" w:unhideWhenUsed="0" w:uiPriority="59" w:semiHidden="0" w:name="Table Grid"/>
    <w:lsdException w:qFormat="1" w:uiPriority="29" w:semiHidden="0" w:name="No Spacing"/>
    <w:lsdException w:qFormat="1" w:unhideWhenUsed="0" w:uiPriority="60" w:semiHidden="0" w:name="Light Shading"/>
    <w:lsdException w:qFormat="1" w:unhideWhenUsed="0" w:uiPriority="34" w:semiHidden="0" w:name="List Paragraph"/>
    <w:lsdException w:qFormat="1" w:unhideWhenUsed="0" w:uiPriority="29" w:semiHidden="0" w:name="Quote"/>
  </w:latentStyles>
  <w:style w:type="paragraph" w:default="1" w:styleId="1">
    <w:name w:val="Normal"/>
    <w:qFormat/>
    <w:uiPriority w:val="0"/>
    <w:pPr>
      <w:spacing w:before="120" w:after="120" w:line="240" w:lineRule="auto"/>
      <w:jc w:val="both"/>
    </w:pPr>
    <w:rPr>
      <w:rFonts w:ascii="Marianne" w:hAnsi="Marianne" w:eastAsiaTheme="minorHAnsi" w:cstheme="minorBidi"/>
      <w:color w:val="000000" w:themeColor="text1"/>
      <w:sz w:val="22"/>
      <w:szCs w:val="21"/>
      <w:lang w:val="fr-FR" w:eastAsia="en-US" w:bidi="ar-SA"/>
      <w14:textFill>
        <w14:solidFill>
          <w14:schemeClr w14:val="tx1"/>
        </w14:solidFill>
      </w14:textFill>
    </w:rPr>
  </w:style>
  <w:style w:type="paragraph" w:styleId="2">
    <w:name w:val="heading 1"/>
    <w:basedOn w:val="1"/>
    <w:next w:val="1"/>
    <w:link w:val="43"/>
    <w:qFormat/>
    <w:uiPriority w:val="6"/>
    <w:pPr>
      <w:keepNext/>
      <w:keepLines/>
      <w:numPr>
        <w:ilvl w:val="0"/>
        <w:numId w:val="1"/>
      </w:numPr>
      <w:spacing w:before="480" w:after="240"/>
      <w:jc w:val="left"/>
      <w:outlineLvl w:val="0"/>
    </w:pPr>
    <w:rPr>
      <w:rFonts w:eastAsiaTheme="majorEastAsia" w:cstheme="majorHAnsi"/>
      <w:b/>
      <w:bCs/>
      <w:sz w:val="28"/>
      <w:szCs w:val="26"/>
    </w:rPr>
  </w:style>
  <w:style w:type="paragraph" w:styleId="3">
    <w:name w:val="heading 2"/>
    <w:basedOn w:val="1"/>
    <w:next w:val="1"/>
    <w:link w:val="44"/>
    <w:qFormat/>
    <w:uiPriority w:val="6"/>
    <w:pPr>
      <w:keepNext/>
      <w:keepLines/>
      <w:numPr>
        <w:ilvl w:val="1"/>
        <w:numId w:val="1"/>
      </w:numPr>
      <w:spacing w:before="360" w:after="240"/>
      <w:jc w:val="left"/>
      <w:outlineLvl w:val="1"/>
    </w:pPr>
    <w:rPr>
      <w:rFonts w:eastAsiaTheme="majorEastAsia" w:cstheme="majorHAnsi"/>
      <w:b/>
      <w:bCs/>
      <w:color w:val="3891AF" w:themeColor="accent5" w:themeShade="BF"/>
      <w:sz w:val="26"/>
      <w:szCs w:val="26"/>
    </w:rPr>
  </w:style>
  <w:style w:type="paragraph" w:styleId="4">
    <w:name w:val="heading 3"/>
    <w:basedOn w:val="1"/>
    <w:next w:val="1"/>
    <w:link w:val="45"/>
    <w:qFormat/>
    <w:uiPriority w:val="6"/>
    <w:pPr>
      <w:keepNext/>
      <w:keepLines/>
      <w:numPr>
        <w:ilvl w:val="2"/>
        <w:numId w:val="1"/>
      </w:numPr>
      <w:spacing w:before="240" w:after="240"/>
      <w:jc w:val="left"/>
      <w:outlineLvl w:val="2"/>
    </w:pPr>
    <w:rPr>
      <w:rFonts w:eastAsiaTheme="majorEastAsia" w:cstheme="minorHAnsi"/>
      <w:bCs/>
      <w:sz w:val="24"/>
      <w:szCs w:val="26"/>
    </w:rPr>
  </w:style>
  <w:style w:type="paragraph" w:styleId="5">
    <w:name w:val="heading 4"/>
    <w:basedOn w:val="1"/>
    <w:next w:val="1"/>
    <w:link w:val="46"/>
    <w:unhideWhenUsed/>
    <w:qFormat/>
    <w:uiPriority w:val="6"/>
    <w:pPr>
      <w:keepNext/>
      <w:keepLines/>
      <w:numPr>
        <w:ilvl w:val="3"/>
        <w:numId w:val="1"/>
      </w:numPr>
      <w:jc w:val="left"/>
      <w:outlineLvl w:val="3"/>
    </w:pPr>
    <w:rPr>
      <w:rFonts w:eastAsiaTheme="majorEastAsia" w:cstheme="minorHAnsi"/>
      <w:b/>
      <w:bCs/>
      <w:iCs/>
      <w:color w:val="92D050"/>
    </w:rPr>
  </w:style>
  <w:style w:type="paragraph" w:styleId="6">
    <w:name w:val="heading 5"/>
    <w:basedOn w:val="1"/>
    <w:next w:val="1"/>
    <w:link w:val="55"/>
    <w:unhideWhenUsed/>
    <w:qFormat/>
    <w:uiPriority w:val="6"/>
    <w:pPr>
      <w:keepNext/>
      <w:keepLines/>
      <w:spacing w:before="200" w:after="0"/>
      <w:outlineLvl w:val="4"/>
    </w:pPr>
    <w:rPr>
      <w:rFonts w:eastAsia="Times New Roman" w:cs="Times New Roman"/>
      <w:b/>
      <w:color w:val="auto"/>
      <w:szCs w:val="24"/>
      <w:lang w:eastAsia="fr-FR"/>
    </w:rPr>
  </w:style>
  <w:style w:type="paragraph" w:styleId="7">
    <w:name w:val="heading 6"/>
    <w:basedOn w:val="1"/>
    <w:next w:val="1"/>
    <w:link w:val="56"/>
    <w:semiHidden/>
    <w:unhideWhenUsed/>
    <w:qFormat/>
    <w:uiPriority w:val="6"/>
    <w:pPr>
      <w:keepNext/>
      <w:keepLines/>
      <w:spacing w:before="200" w:after="0"/>
      <w:outlineLvl w:val="5"/>
    </w:pPr>
    <w:rPr>
      <w:rFonts w:eastAsia="Times New Roman" w:cs="Times New Roman"/>
      <w:i/>
      <w:iCs/>
      <w:color w:val="275277"/>
      <w:szCs w:val="24"/>
      <w:lang w:eastAsia="fr-FR"/>
    </w:rPr>
  </w:style>
  <w:style w:type="paragraph" w:styleId="8">
    <w:name w:val="heading 7"/>
    <w:basedOn w:val="1"/>
    <w:next w:val="1"/>
    <w:link w:val="47"/>
    <w:semiHidden/>
    <w:unhideWhenUsed/>
    <w:qFormat/>
    <w:uiPriority w:val="0"/>
    <w:pPr>
      <w:keepNext/>
      <w:keepLines/>
      <w:numPr>
        <w:ilvl w:val="6"/>
        <w:numId w:val="1"/>
      </w:numPr>
      <w:spacing w:before="200" w:after="0"/>
      <w:outlineLvl w:val="6"/>
    </w:pPr>
    <w:rPr>
      <w:rFonts w:ascii="Times New Roman" w:hAnsi="Times New Roman" w:eastAsia="Times New Roman" w:cs="Times New Roman"/>
      <w:i/>
      <w:iCs/>
      <w:color w:val="404040"/>
      <w:sz w:val="24"/>
      <w:szCs w:val="24"/>
      <w:lang w:eastAsia="fr-FR"/>
    </w:rPr>
  </w:style>
  <w:style w:type="paragraph" w:styleId="9">
    <w:name w:val="heading 8"/>
    <w:basedOn w:val="1"/>
    <w:next w:val="1"/>
    <w:link w:val="48"/>
    <w:semiHidden/>
    <w:unhideWhenUsed/>
    <w:qFormat/>
    <w:uiPriority w:val="9"/>
    <w:pPr>
      <w:keepNext/>
      <w:keepLines/>
      <w:numPr>
        <w:ilvl w:val="7"/>
        <w:numId w:val="1"/>
      </w:numPr>
      <w:spacing w:before="200" w:after="0"/>
      <w:outlineLvl w:val="7"/>
    </w:pPr>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paragraph" w:styleId="10">
    <w:name w:val="heading 9"/>
    <w:basedOn w:val="1"/>
    <w:next w:val="1"/>
    <w:link w:val="49"/>
    <w:semiHidden/>
    <w:unhideWhenUsed/>
    <w:qFormat/>
    <w:uiPriority w:val="9"/>
    <w:pPr>
      <w:keepNext/>
      <w:keepLines/>
      <w:numPr>
        <w:ilvl w:val="8"/>
        <w:numId w:val="1"/>
      </w:numPr>
      <w:spacing w:before="200" w:after="0"/>
      <w:outlineLvl w:val="8"/>
    </w:pPr>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default="1" w:styleId="11">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character" w:styleId="12">
    <w:name w:val="Hyperlink"/>
    <w:basedOn w:val="11"/>
    <w:unhideWhenUsed/>
    <w:qFormat/>
    <w:uiPriority w:val="99"/>
    <w:rPr>
      <w:color w:val="084E8E" w:themeColor="accent1"/>
      <w:u w:val="single"/>
      <w14:textFill>
        <w14:solidFill>
          <w14:schemeClr w14:val="accent1"/>
        </w14:solidFill>
      </w14:textFill>
    </w:rPr>
  </w:style>
  <w:style w:type="character" w:styleId="13">
    <w:name w:val="footnote reference"/>
    <w:basedOn w:val="11"/>
    <w:qFormat/>
    <w:uiPriority w:val="28"/>
    <w:rPr>
      <w:vertAlign w:val="superscript"/>
    </w:rPr>
  </w:style>
  <w:style w:type="character" w:styleId="14">
    <w:name w:val="annotation reference"/>
    <w:basedOn w:val="11"/>
    <w:semiHidden/>
    <w:unhideWhenUsed/>
    <w:qFormat/>
    <w:uiPriority w:val="99"/>
    <w:rPr>
      <w:sz w:val="16"/>
      <w:szCs w:val="16"/>
    </w:rPr>
  </w:style>
  <w:style w:type="character" w:styleId="15">
    <w:name w:val="Emphasis"/>
    <w:basedOn w:val="11"/>
    <w:qFormat/>
    <w:uiPriority w:val="27"/>
    <w:rPr>
      <w:b/>
      <w:iCs/>
    </w:rPr>
  </w:style>
  <w:style w:type="paragraph" w:styleId="16">
    <w:name w:val="Subtitle"/>
    <w:basedOn w:val="1"/>
    <w:next w:val="1"/>
    <w:link w:val="78"/>
    <w:qFormat/>
    <w:uiPriority w:val="5"/>
    <w:pPr>
      <w:spacing w:before="240" w:after="840"/>
      <w:jc w:val="center"/>
    </w:pPr>
    <w:rPr>
      <w:rFonts w:eastAsiaTheme="majorEastAsia" w:cstheme="majorBidi"/>
      <w:b/>
      <w:iCs/>
      <w:color w:val="3891AF" w:themeColor="accent5" w:themeShade="BF"/>
      <w:spacing w:val="15"/>
      <w:sz w:val="24"/>
      <w:szCs w:val="24"/>
    </w:rPr>
  </w:style>
  <w:style w:type="paragraph" w:styleId="17">
    <w:name w:val="List Bullet 2"/>
    <w:basedOn w:val="18"/>
    <w:qFormat/>
    <w:uiPriority w:val="12"/>
    <w:pPr>
      <w:numPr>
        <w:ilvl w:val="0"/>
        <w:numId w:val="2"/>
      </w:numPr>
      <w:ind w:left="851" w:hanging="284"/>
    </w:pPr>
    <w:rPr>
      <w:rFonts w:eastAsia="Times New Roman" w:cs="Arial"/>
      <w:color w:val="auto"/>
      <w:szCs w:val="18"/>
      <w:lang w:eastAsia="fr-FR"/>
    </w:rPr>
  </w:style>
  <w:style w:type="paragraph" w:styleId="18">
    <w:name w:val="List Paragraph"/>
    <w:basedOn w:val="1"/>
    <w:link w:val="86"/>
    <w:qFormat/>
    <w:uiPriority w:val="34"/>
    <w:pPr>
      <w:numPr>
        <w:ilvl w:val="0"/>
        <w:numId w:val="3"/>
      </w:numPr>
      <w:spacing w:before="60" w:after="60"/>
    </w:pPr>
  </w:style>
  <w:style w:type="paragraph" w:styleId="19">
    <w:name w:val="footnote text"/>
    <w:basedOn w:val="1"/>
    <w:link w:val="50"/>
    <w:semiHidden/>
    <w:qFormat/>
    <w:uiPriority w:val="0"/>
    <w:pPr>
      <w:spacing w:before="60" w:after="60"/>
    </w:pPr>
    <w:rPr>
      <w:rFonts w:eastAsia="Times New Roman" w:cs="Times New Roman"/>
      <w:color w:val="auto"/>
      <w:sz w:val="18"/>
      <w:szCs w:val="20"/>
      <w:lang w:eastAsia="fr-FR"/>
    </w:rPr>
  </w:style>
  <w:style w:type="paragraph" w:styleId="20">
    <w:name w:val="annotation subject"/>
    <w:basedOn w:val="21"/>
    <w:next w:val="21"/>
    <w:link w:val="84"/>
    <w:semiHidden/>
    <w:unhideWhenUsed/>
    <w:qFormat/>
    <w:uiPriority w:val="99"/>
    <w:rPr>
      <w:b/>
      <w:bCs/>
    </w:rPr>
  </w:style>
  <w:style w:type="paragraph" w:styleId="21">
    <w:name w:val="annotation text"/>
    <w:basedOn w:val="1"/>
    <w:link w:val="83"/>
    <w:unhideWhenUsed/>
    <w:qFormat/>
    <w:uiPriority w:val="99"/>
    <w:rPr>
      <w:sz w:val="20"/>
      <w:szCs w:val="20"/>
    </w:rPr>
  </w:style>
  <w:style w:type="paragraph" w:styleId="22">
    <w:name w:val="caption"/>
    <w:basedOn w:val="1"/>
    <w:next w:val="1"/>
    <w:qFormat/>
    <w:uiPriority w:val="25"/>
    <w:pPr>
      <w:spacing w:before="60"/>
      <w:jc w:val="center"/>
    </w:pPr>
    <w:rPr>
      <w:rFonts w:cstheme="minorHAnsi"/>
      <w:b/>
      <w:bCs/>
      <w:color w:val="92D050"/>
      <w:sz w:val="16"/>
      <w:szCs w:val="18"/>
    </w:rPr>
  </w:style>
  <w:style w:type="paragraph" w:styleId="23">
    <w:name w:val="List Number"/>
    <w:basedOn w:val="18"/>
    <w:qFormat/>
    <w:uiPriority w:val="13"/>
    <w:pPr>
      <w:numPr>
        <w:ilvl w:val="0"/>
        <w:numId w:val="4"/>
      </w:numPr>
    </w:pPr>
  </w:style>
  <w:style w:type="paragraph" w:styleId="24">
    <w:name w:val="Balloon Text"/>
    <w:basedOn w:val="1"/>
    <w:link w:val="60"/>
    <w:semiHidden/>
    <w:unhideWhenUsed/>
    <w:qFormat/>
    <w:uiPriority w:val="99"/>
    <w:pPr>
      <w:spacing w:before="0" w:after="0"/>
    </w:pPr>
    <w:rPr>
      <w:rFonts w:ascii="Tahoma" w:hAnsi="Tahoma" w:cs="Tahoma"/>
      <w:sz w:val="16"/>
      <w:szCs w:val="16"/>
    </w:rPr>
  </w:style>
  <w:style w:type="paragraph" w:styleId="25">
    <w:name w:val="toc 3"/>
    <w:basedOn w:val="1"/>
    <w:next w:val="1"/>
    <w:autoRedefine/>
    <w:unhideWhenUsed/>
    <w:qFormat/>
    <w:uiPriority w:val="39"/>
    <w:pPr>
      <w:spacing w:after="100"/>
      <w:ind w:left="440"/>
    </w:pPr>
  </w:style>
  <w:style w:type="paragraph" w:styleId="26">
    <w:name w:val="footer"/>
    <w:basedOn w:val="1"/>
    <w:link w:val="51"/>
    <w:qFormat/>
    <w:uiPriority w:val="17"/>
    <w:pPr>
      <w:tabs>
        <w:tab w:val="right" w:pos="9639"/>
      </w:tabs>
      <w:spacing w:after="0" w:line="240" w:lineRule="auto"/>
    </w:pPr>
    <w:rPr>
      <w:rFonts w:ascii="Marianne" w:hAnsi="Marianne" w:eastAsiaTheme="minorHAnsi" w:cstheme="minorBidi"/>
      <w:color w:val="000000" w:themeColor="text1"/>
      <w:sz w:val="18"/>
      <w:szCs w:val="22"/>
      <w:lang w:val="fr-FR" w:eastAsia="en-US" w:bidi="ar-SA"/>
      <w14:textFill>
        <w14:solidFill>
          <w14:schemeClr w14:val="tx1"/>
        </w14:solidFill>
      </w14:textFill>
    </w:rPr>
  </w:style>
  <w:style w:type="paragraph" w:styleId="27">
    <w:name w:val="header"/>
    <w:link w:val="57"/>
    <w:unhideWhenUsed/>
    <w:qFormat/>
    <w:uiPriority w:val="99"/>
    <w:pPr>
      <w:tabs>
        <w:tab w:val="center" w:pos="4513"/>
        <w:tab w:val="right" w:pos="9026"/>
      </w:tabs>
      <w:spacing w:after="0" w:line="240" w:lineRule="auto"/>
      <w:jc w:val="right"/>
    </w:pPr>
    <w:rPr>
      <w:rFonts w:asciiTheme="minorHAnsi" w:hAnsiTheme="minorHAnsi" w:eastAsiaTheme="minorHAnsi" w:cstheme="minorBidi"/>
      <w:caps/>
      <w:color w:val="000000" w:themeColor="text1"/>
      <w:sz w:val="18"/>
      <w:szCs w:val="22"/>
      <w:lang w:val="fr-FR" w:eastAsia="en-US" w:bidi="ar-SA"/>
      <w14:textFill>
        <w14:solidFill>
          <w14:schemeClr w14:val="tx1"/>
        </w14:solidFill>
      </w14:textFill>
    </w:rPr>
  </w:style>
  <w:style w:type="paragraph" w:styleId="28">
    <w:name w:val="List Number 2"/>
    <w:basedOn w:val="18"/>
    <w:unhideWhenUsed/>
    <w:qFormat/>
    <w:uiPriority w:val="14"/>
    <w:pPr>
      <w:numPr>
        <w:ilvl w:val="1"/>
        <w:numId w:val="5"/>
      </w:numPr>
    </w:pPr>
  </w:style>
  <w:style w:type="paragraph" w:styleId="29">
    <w:name w:val="toc 2"/>
    <w:basedOn w:val="1"/>
    <w:next w:val="1"/>
    <w:autoRedefine/>
    <w:unhideWhenUsed/>
    <w:qFormat/>
    <w:uiPriority w:val="39"/>
    <w:pPr>
      <w:spacing w:after="100"/>
      <w:ind w:left="220"/>
    </w:pPr>
  </w:style>
  <w:style w:type="paragraph" w:styleId="30">
    <w:name w:val="Signature"/>
    <w:basedOn w:val="1"/>
    <w:next w:val="1"/>
    <w:link w:val="59"/>
    <w:semiHidden/>
    <w:qFormat/>
    <w:uiPriority w:val="5"/>
    <w:pPr>
      <w:spacing w:before="840"/>
      <w:ind w:left="5670"/>
    </w:pPr>
  </w:style>
  <w:style w:type="paragraph" w:styleId="31">
    <w:name w:val="List Bullet"/>
    <w:basedOn w:val="18"/>
    <w:qFormat/>
    <w:uiPriority w:val="11"/>
    <w:pPr>
      <w:numPr>
        <w:ilvl w:val="0"/>
        <w:numId w:val="6"/>
      </w:numPr>
      <w:ind w:left="567" w:hanging="283"/>
    </w:pPr>
    <w:rPr>
      <w:rFonts w:eastAsia="Times New Roman" w:cs="Arial"/>
      <w:color w:val="auto"/>
      <w:szCs w:val="18"/>
      <w:lang w:eastAsia="fr-FR"/>
    </w:rPr>
  </w:style>
  <w:style w:type="paragraph" w:styleId="32">
    <w:name w:val="table of figures"/>
    <w:basedOn w:val="1"/>
    <w:next w:val="1"/>
    <w:unhideWhenUsed/>
    <w:qFormat/>
    <w:uiPriority w:val="99"/>
    <w:pPr>
      <w:spacing w:after="0"/>
    </w:pPr>
  </w:style>
  <w:style w:type="paragraph" w:styleId="33">
    <w:name w:val="Title"/>
    <w:basedOn w:val="1"/>
    <w:next w:val="1"/>
    <w:link w:val="52"/>
    <w:qFormat/>
    <w:uiPriority w:val="4"/>
    <w:pPr>
      <w:spacing w:before="240" w:after="240"/>
      <w:contextualSpacing/>
      <w:jc w:val="center"/>
    </w:pPr>
    <w:rPr>
      <w:rFonts w:eastAsiaTheme="majorEastAsia" w:cstheme="majorHAnsi"/>
      <w:b/>
      <w:color w:val="auto"/>
      <w:kern w:val="28"/>
      <w:sz w:val="28"/>
      <w:szCs w:val="30"/>
    </w:rPr>
  </w:style>
  <w:style w:type="paragraph" w:styleId="34">
    <w:name w:val="toc 1"/>
    <w:basedOn w:val="1"/>
    <w:next w:val="1"/>
    <w:autoRedefine/>
    <w:unhideWhenUsed/>
    <w:qFormat/>
    <w:uiPriority w:val="39"/>
    <w:pPr>
      <w:spacing w:after="100"/>
    </w:pPr>
  </w:style>
  <w:style w:type="paragraph" w:customStyle="1" w:styleId="36">
    <w:name w:val="Article"/>
    <w:basedOn w:val="1"/>
    <w:link w:val="37"/>
    <w:semiHidden/>
    <w:qFormat/>
    <w:uiPriority w:val="1"/>
    <w:pPr>
      <w:keepLines/>
      <w:numPr>
        <w:ilvl w:val="0"/>
        <w:numId w:val="7"/>
      </w:numPr>
      <w:tabs>
        <w:tab w:val="left" w:pos="360"/>
      </w:tabs>
      <w:ind w:left="1134" w:hanging="1134"/>
    </w:pPr>
    <w:rPr>
      <w:rFonts w:eastAsia="Times New Roman" w:cs="Times New Roman"/>
      <w:color w:val="auto"/>
      <w:szCs w:val="24"/>
      <w:lang w:eastAsia="fr-FR"/>
    </w:rPr>
  </w:style>
  <w:style w:type="character" w:customStyle="1" w:styleId="37">
    <w:name w:val="Article Car"/>
    <w:link w:val="36"/>
    <w:semiHidden/>
    <w:qFormat/>
    <w:uiPriority w:val="1"/>
    <w:rPr>
      <w:rFonts w:ascii="Marianne" w:hAnsi="Marianne" w:eastAsia="Times New Roman" w:cs="Times New Roman"/>
      <w:szCs w:val="24"/>
      <w:lang w:eastAsia="fr-FR"/>
    </w:rPr>
  </w:style>
  <w:style w:type="paragraph" w:customStyle="1" w:styleId="38">
    <w:name w:val="Titr tableau"/>
    <w:basedOn w:val="39"/>
    <w:link w:val="42"/>
    <w:qFormat/>
    <w:uiPriority w:val="22"/>
    <w:pPr>
      <w:keepNext/>
      <w:jc w:val="center"/>
    </w:pPr>
    <w:rPr>
      <w:rFonts w:ascii="Marianne" w:hAnsi="Marianne" w:eastAsia="Times New Roman" w:cs="Times New Roman"/>
      <w:b/>
      <w:color w:val="3891AF" w:themeColor="accent5" w:themeShade="BF"/>
      <w:szCs w:val="20"/>
      <w:lang w:eastAsia="fr-FR"/>
    </w:rPr>
  </w:style>
  <w:style w:type="paragraph" w:styleId="39">
    <w:name w:val="No Spacing"/>
    <w:link w:val="41"/>
    <w:unhideWhenUsed/>
    <w:qFormat/>
    <w:uiPriority w:val="29"/>
    <w:pPr>
      <w:spacing w:after="0" w:line="240" w:lineRule="auto"/>
      <w:jc w:val="both"/>
    </w:pPr>
    <w:rPr>
      <w:rFonts w:asciiTheme="minorHAnsi" w:hAnsiTheme="minorHAnsi" w:eastAsiaTheme="minorHAnsi" w:cstheme="minorBidi"/>
      <w:color w:val="000000" w:themeColor="text1"/>
      <w:sz w:val="20"/>
      <w:szCs w:val="22"/>
      <w:lang w:val="fr-FR" w:eastAsia="en-US" w:bidi="ar-SA"/>
      <w14:textFill>
        <w14:solidFill>
          <w14:schemeClr w14:val="tx1"/>
        </w14:solidFill>
      </w14:textFill>
    </w:rPr>
  </w:style>
  <w:style w:type="paragraph" w:customStyle="1" w:styleId="40">
    <w:name w:val="Tableau"/>
    <w:basedOn w:val="38"/>
    <w:link w:val="62"/>
    <w:autoRedefine/>
    <w:qFormat/>
    <w:uiPriority w:val="22"/>
    <w:rPr>
      <w:color w:val="000000" w:themeColor="text1"/>
      <w14:textFill>
        <w14:solidFill>
          <w14:schemeClr w14:val="tx1"/>
        </w14:solidFill>
      </w14:textFill>
    </w:rPr>
  </w:style>
  <w:style w:type="character" w:customStyle="1" w:styleId="41">
    <w:name w:val="Sans interligne Car"/>
    <w:basedOn w:val="11"/>
    <w:link w:val="39"/>
    <w:qFormat/>
    <w:uiPriority w:val="29"/>
    <w:rPr>
      <w:color w:val="000000" w:themeColor="text1"/>
      <w:sz w:val="20"/>
      <w14:textFill>
        <w14:solidFill>
          <w14:schemeClr w14:val="tx1"/>
        </w14:solidFill>
      </w14:textFill>
    </w:rPr>
  </w:style>
  <w:style w:type="character" w:customStyle="1" w:styleId="42">
    <w:name w:val="Titr tableau Car"/>
    <w:basedOn w:val="41"/>
    <w:link w:val="38"/>
    <w:qFormat/>
    <w:uiPriority w:val="22"/>
    <w:rPr>
      <w:rFonts w:ascii="Marianne" w:hAnsi="Marianne" w:eastAsia="Times New Roman" w:cs="Times New Roman"/>
      <w:b/>
      <w:color w:val="3891AF" w:themeColor="accent5" w:themeShade="BF"/>
      <w:sz w:val="20"/>
      <w:szCs w:val="20"/>
      <w:lang w:eastAsia="fr-FR"/>
    </w:rPr>
  </w:style>
  <w:style w:type="character" w:customStyle="1" w:styleId="43">
    <w:name w:val="Titre 1 Car"/>
    <w:basedOn w:val="11"/>
    <w:link w:val="2"/>
    <w:qFormat/>
    <w:uiPriority w:val="6"/>
    <w:rPr>
      <w:rFonts w:ascii="Marianne" w:hAnsi="Marianne" w:eastAsiaTheme="majorEastAsia" w:cstheme="majorHAnsi"/>
      <w:b/>
      <w:bCs/>
      <w:color w:val="000000" w:themeColor="text1"/>
      <w:sz w:val="28"/>
      <w:szCs w:val="26"/>
      <w14:textFill>
        <w14:solidFill>
          <w14:schemeClr w14:val="tx1"/>
        </w14:solidFill>
      </w14:textFill>
    </w:rPr>
  </w:style>
  <w:style w:type="character" w:customStyle="1" w:styleId="44">
    <w:name w:val="Titre 2 Car"/>
    <w:basedOn w:val="11"/>
    <w:link w:val="3"/>
    <w:qFormat/>
    <w:uiPriority w:val="6"/>
    <w:rPr>
      <w:rFonts w:ascii="Marianne" w:hAnsi="Marianne" w:eastAsiaTheme="majorEastAsia" w:cstheme="majorHAnsi"/>
      <w:b/>
      <w:bCs/>
      <w:color w:val="3891AF" w:themeColor="accent5" w:themeShade="BF"/>
      <w:sz w:val="26"/>
      <w:szCs w:val="26"/>
    </w:rPr>
  </w:style>
  <w:style w:type="character" w:customStyle="1" w:styleId="45">
    <w:name w:val="Titre 3 Car"/>
    <w:basedOn w:val="11"/>
    <w:link w:val="4"/>
    <w:qFormat/>
    <w:uiPriority w:val="6"/>
    <w:rPr>
      <w:rFonts w:ascii="Marianne" w:hAnsi="Marianne" w:eastAsiaTheme="majorEastAsia" w:cstheme="minorHAnsi"/>
      <w:bCs/>
      <w:color w:val="000000" w:themeColor="text1"/>
      <w:sz w:val="24"/>
      <w:szCs w:val="26"/>
      <w14:textFill>
        <w14:solidFill>
          <w14:schemeClr w14:val="tx1"/>
        </w14:solidFill>
      </w14:textFill>
    </w:rPr>
  </w:style>
  <w:style w:type="character" w:customStyle="1" w:styleId="46">
    <w:name w:val="Titre 4 Car"/>
    <w:basedOn w:val="11"/>
    <w:link w:val="5"/>
    <w:qFormat/>
    <w:uiPriority w:val="6"/>
    <w:rPr>
      <w:rFonts w:ascii="Marianne" w:hAnsi="Marianne" w:eastAsiaTheme="majorEastAsia" w:cstheme="minorHAnsi"/>
      <w:b/>
      <w:bCs/>
      <w:iCs/>
      <w:color w:val="92D050"/>
      <w:szCs w:val="21"/>
    </w:rPr>
  </w:style>
  <w:style w:type="character" w:customStyle="1" w:styleId="47">
    <w:name w:val="Titre 7 Car"/>
    <w:basedOn w:val="11"/>
    <w:link w:val="8"/>
    <w:semiHidden/>
    <w:qFormat/>
    <w:uiPriority w:val="0"/>
    <w:rPr>
      <w:rFonts w:ascii="Times New Roman" w:hAnsi="Times New Roman" w:eastAsia="Times New Roman" w:cs="Times New Roman"/>
      <w:i/>
      <w:iCs/>
      <w:color w:val="404040"/>
      <w:sz w:val="24"/>
      <w:szCs w:val="24"/>
      <w:lang w:eastAsia="fr-FR"/>
    </w:rPr>
  </w:style>
  <w:style w:type="character" w:customStyle="1" w:styleId="48">
    <w:name w:val="Titre 8 Car"/>
    <w:basedOn w:val="11"/>
    <w:link w:val="9"/>
    <w:semiHidden/>
    <w:qFormat/>
    <w:uiPriority w:val="9"/>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character" w:customStyle="1" w:styleId="49">
    <w:name w:val="Titre 9 Car"/>
    <w:basedOn w:val="11"/>
    <w:link w:val="10"/>
    <w:semiHidden/>
    <w:qFormat/>
    <w:uiPriority w:val="9"/>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customStyle="1" w:styleId="50">
    <w:name w:val="Note de bas de page Car"/>
    <w:basedOn w:val="11"/>
    <w:link w:val="19"/>
    <w:semiHidden/>
    <w:qFormat/>
    <w:uiPriority w:val="0"/>
    <w:rPr>
      <w:rFonts w:eastAsia="Times New Roman" w:cs="Times New Roman"/>
      <w:sz w:val="18"/>
      <w:szCs w:val="20"/>
      <w:lang w:eastAsia="fr-FR"/>
    </w:rPr>
  </w:style>
  <w:style w:type="character" w:customStyle="1" w:styleId="51">
    <w:name w:val="Pied de page Car"/>
    <w:basedOn w:val="11"/>
    <w:link w:val="26"/>
    <w:qFormat/>
    <w:uiPriority w:val="17"/>
    <w:rPr>
      <w:rFonts w:ascii="Marianne" w:hAnsi="Marianne"/>
      <w:color w:val="000000" w:themeColor="text1"/>
      <w:sz w:val="18"/>
      <w14:textFill>
        <w14:solidFill>
          <w14:schemeClr w14:val="tx1"/>
        </w14:solidFill>
      </w14:textFill>
    </w:rPr>
  </w:style>
  <w:style w:type="character" w:customStyle="1" w:styleId="52">
    <w:name w:val="Titre Car"/>
    <w:basedOn w:val="11"/>
    <w:link w:val="33"/>
    <w:qFormat/>
    <w:uiPriority w:val="4"/>
    <w:rPr>
      <w:rFonts w:ascii="Marianne" w:hAnsi="Marianne" w:eastAsiaTheme="majorEastAsia" w:cstheme="majorHAnsi"/>
      <w:b/>
      <w:kern w:val="28"/>
      <w:sz w:val="28"/>
      <w:szCs w:val="30"/>
    </w:rPr>
  </w:style>
  <w:style w:type="paragraph" w:styleId="53">
    <w:name w:val="Quote"/>
    <w:basedOn w:val="1"/>
    <w:next w:val="1"/>
    <w:link w:val="54"/>
    <w:qFormat/>
    <w:uiPriority w:val="29"/>
    <w:pPr>
      <w:ind w:left="284"/>
    </w:pPr>
    <w:rPr>
      <w:i/>
      <w:iCs/>
    </w:rPr>
  </w:style>
  <w:style w:type="character" w:customStyle="1" w:styleId="54">
    <w:name w:val="Citation Car"/>
    <w:basedOn w:val="11"/>
    <w:link w:val="53"/>
    <w:qFormat/>
    <w:uiPriority w:val="29"/>
    <w:rPr>
      <w:i/>
      <w:iCs/>
      <w:color w:val="000000"/>
      <w:szCs w:val="21"/>
    </w:rPr>
  </w:style>
  <w:style w:type="character" w:customStyle="1" w:styleId="55">
    <w:name w:val="Titre 5 Car"/>
    <w:basedOn w:val="11"/>
    <w:link w:val="6"/>
    <w:qFormat/>
    <w:uiPriority w:val="6"/>
    <w:rPr>
      <w:rFonts w:eastAsia="Times New Roman" w:cs="Times New Roman"/>
      <w:b/>
      <w:szCs w:val="24"/>
      <w:lang w:eastAsia="fr-FR"/>
    </w:rPr>
  </w:style>
  <w:style w:type="character" w:customStyle="1" w:styleId="56">
    <w:name w:val="Titre 6 Car"/>
    <w:basedOn w:val="11"/>
    <w:link w:val="7"/>
    <w:semiHidden/>
    <w:qFormat/>
    <w:uiPriority w:val="6"/>
    <w:rPr>
      <w:rFonts w:eastAsia="Times New Roman" w:cs="Times New Roman"/>
      <w:i/>
      <w:iCs/>
      <w:color w:val="275277"/>
      <w:szCs w:val="24"/>
      <w:lang w:eastAsia="fr-FR"/>
    </w:rPr>
  </w:style>
  <w:style w:type="character" w:customStyle="1" w:styleId="57">
    <w:name w:val="En-tête Car"/>
    <w:basedOn w:val="11"/>
    <w:link w:val="27"/>
    <w:qFormat/>
    <w:uiPriority w:val="99"/>
    <w:rPr>
      <w:caps/>
      <w:color w:val="000000" w:themeColor="text1"/>
      <w:sz w:val="18"/>
      <w14:textFill>
        <w14:solidFill>
          <w14:schemeClr w14:val="tx1"/>
        </w14:solidFill>
      </w14:textFill>
    </w:rPr>
  </w:style>
  <w:style w:type="table" w:styleId="58">
    <w:name w:val="Table Columns 4"/>
    <w:basedOn w:val="35"/>
    <w:qFormat/>
    <w:uiPriority w:val="0"/>
    <w:pPr>
      <w:spacing w:after="0" w:line="240" w:lineRule="auto"/>
      <w:contextualSpacing/>
      <w:jc w:val="center"/>
    </w:pPr>
    <w:rPr>
      <w:rFonts w:eastAsia="Times New Roman" w:cs="Times New Roman"/>
      <w:color w:val="000000" w:themeColor="text1"/>
      <w:szCs w:val="20"/>
      <w:lang w:eastAsia="fr-FR"/>
      <w14:textFill>
        <w14:solidFill>
          <w14:schemeClr w14:val="tx1"/>
        </w14:solidFill>
      </w14:textFill>
    </w:rPr>
    <w:tblPr>
      <w:jc w:val="center"/>
      <w:tblBorders>
        <w:insideH w:val="single" w:color="232253" w:themeColor="text2" w:sz="8" w:space="0"/>
      </w:tblBorders>
    </w:tblPr>
    <w:trPr>
      <w:jc w:val="center"/>
    </w:trPr>
    <w:tcPr>
      <w:vAlign w:val="center"/>
    </w:tcPr>
    <w:tblStylePr w:type="firstRow">
      <w:pPr>
        <w:jc w:val="center"/>
      </w:pPr>
      <w:rPr>
        <w:rFonts w:asciiTheme="minorHAnsi" w:hAnsiTheme="minorHAnsi"/>
        <w:b/>
        <w:color w:val="FFFFFF"/>
      </w:rPr>
      <w:tcPr>
        <w:tcBorders>
          <w:bottom w:val="single" w:color="232253" w:themeColor="text2" w:sz="18"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character" w:customStyle="1" w:styleId="59">
    <w:name w:val="Signature Car"/>
    <w:basedOn w:val="11"/>
    <w:link w:val="30"/>
    <w:semiHidden/>
    <w:qFormat/>
    <w:uiPriority w:val="5"/>
    <w:rPr>
      <w:color w:val="000000"/>
      <w:szCs w:val="21"/>
    </w:rPr>
  </w:style>
  <w:style w:type="character" w:customStyle="1" w:styleId="60">
    <w:name w:val="Texte de bulles Car"/>
    <w:basedOn w:val="11"/>
    <w:link w:val="24"/>
    <w:semiHidden/>
    <w:qFormat/>
    <w:uiPriority w:val="99"/>
    <w:rPr>
      <w:rFonts w:ascii="Tahoma" w:hAnsi="Tahoma" w:cs="Tahoma"/>
      <w:color w:val="000000" w:themeColor="text1"/>
      <w:sz w:val="16"/>
      <w:szCs w:val="16"/>
      <w14:textFill>
        <w14:solidFill>
          <w14:schemeClr w14:val="tx1"/>
        </w14:solidFill>
      </w14:textFill>
    </w:rPr>
  </w:style>
  <w:style w:type="table" w:styleId="61">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Tableau Car"/>
    <w:basedOn w:val="42"/>
    <w:link w:val="40"/>
    <w:qFormat/>
    <w:uiPriority w:val="22"/>
    <w:rPr>
      <w:rFonts w:ascii="Marianne" w:hAnsi="Marianne" w:eastAsia="Times New Roman" w:cs="Times New Roman"/>
      <w:color w:val="000000" w:themeColor="text1"/>
      <w:sz w:val="20"/>
      <w:szCs w:val="20"/>
      <w:lang w:eastAsia="fr-FR"/>
      <w14:textFill>
        <w14:solidFill>
          <w14:schemeClr w14:val="tx1"/>
        </w14:solidFill>
      </w14:textFill>
    </w:rPr>
  </w:style>
  <w:style w:type="paragraph" w:customStyle="1" w:styleId="63">
    <w:name w:val="Image"/>
    <w:basedOn w:val="1"/>
    <w:next w:val="22"/>
    <w:link w:val="65"/>
    <w:qFormat/>
    <w:uiPriority w:val="24"/>
    <w:pPr>
      <w:keepNext/>
      <w:jc w:val="center"/>
    </w:pPr>
    <w:rPr>
      <w:lang w:eastAsia="fr-FR"/>
    </w:rPr>
  </w:style>
  <w:style w:type="paragraph" w:customStyle="1" w:styleId="64">
    <w:name w:val="Encadré"/>
    <w:basedOn w:val="1"/>
    <w:link w:val="66"/>
    <w:qFormat/>
    <w:uiPriority w:val="19"/>
    <w:pPr>
      <w:pBdr>
        <w:top w:val="single" w:color="3891AF" w:themeColor="accent5" w:themeShade="BF" w:sz="6" w:space="1"/>
        <w:left w:val="single" w:color="3891AF" w:themeColor="accent5" w:themeShade="BF" w:sz="6" w:space="4"/>
        <w:bottom w:val="single" w:color="3891AF" w:themeColor="accent5" w:themeShade="BF" w:sz="6" w:space="1"/>
        <w:right w:val="single" w:color="3891AF" w:themeColor="accent5" w:themeShade="BF" w:sz="6" w:space="4"/>
      </w:pBdr>
      <w:shd w:val="clear" w:color="auto" w:fill="CDE5F6" w:themeFill="accent2"/>
    </w:pPr>
  </w:style>
  <w:style w:type="character" w:customStyle="1" w:styleId="65">
    <w:name w:val="Image Car"/>
    <w:basedOn w:val="11"/>
    <w:link w:val="63"/>
    <w:qFormat/>
    <w:uiPriority w:val="24"/>
    <w:rPr>
      <w:color w:val="000000"/>
      <w:szCs w:val="21"/>
      <w:lang w:eastAsia="fr-FR"/>
    </w:rPr>
  </w:style>
  <w:style w:type="character" w:customStyle="1" w:styleId="66">
    <w:name w:val="Encadré Car"/>
    <w:basedOn w:val="11"/>
    <w:link w:val="64"/>
    <w:qFormat/>
    <w:uiPriority w:val="19"/>
    <w:rPr>
      <w:rFonts w:ascii="Marianne" w:hAnsi="Marianne"/>
      <w:color w:val="000000" w:themeColor="text1"/>
      <w:szCs w:val="21"/>
      <w:shd w:val="clear" w:color="auto" w:fill="CDE5F6" w:themeFill="accent2"/>
      <w14:textFill>
        <w14:solidFill>
          <w14:schemeClr w14:val="tx1"/>
        </w14:solidFill>
      </w14:textFill>
    </w:rPr>
  </w:style>
  <w:style w:type="paragraph" w:customStyle="1" w:styleId="67">
    <w:name w:val="Par. av liste"/>
    <w:basedOn w:val="1"/>
    <w:next w:val="31"/>
    <w:link w:val="69"/>
    <w:qFormat/>
    <w:uiPriority w:val="10"/>
    <w:pPr>
      <w:keepNext/>
    </w:pPr>
  </w:style>
  <w:style w:type="paragraph" w:customStyle="1" w:styleId="68">
    <w:name w:val="Décide"/>
    <w:basedOn w:val="1"/>
    <w:link w:val="71"/>
    <w:semiHidden/>
    <w:qFormat/>
    <w:uiPriority w:val="2"/>
    <w:pPr>
      <w:keepNext/>
      <w:spacing w:before="360" w:after="240"/>
    </w:pPr>
    <w:rPr>
      <w:b/>
    </w:rPr>
  </w:style>
  <w:style w:type="character" w:customStyle="1" w:styleId="69">
    <w:name w:val="Par. av liste Car"/>
    <w:basedOn w:val="11"/>
    <w:link w:val="67"/>
    <w:qFormat/>
    <w:uiPriority w:val="10"/>
    <w:rPr>
      <w:color w:val="000000"/>
      <w:szCs w:val="21"/>
    </w:rPr>
  </w:style>
  <w:style w:type="paragraph" w:customStyle="1" w:styleId="70">
    <w:name w:val="Fonction signataire"/>
    <w:basedOn w:val="30"/>
    <w:next w:val="30"/>
    <w:link w:val="73"/>
    <w:semiHidden/>
    <w:qFormat/>
    <w:uiPriority w:val="4"/>
    <w:pPr>
      <w:keepNext/>
      <w:spacing w:before="120" w:after="840"/>
    </w:pPr>
  </w:style>
  <w:style w:type="character" w:customStyle="1" w:styleId="71">
    <w:name w:val="Décide Car"/>
    <w:basedOn w:val="11"/>
    <w:link w:val="68"/>
    <w:semiHidden/>
    <w:qFormat/>
    <w:uiPriority w:val="2"/>
    <w:rPr>
      <w:b/>
      <w:color w:val="000000"/>
      <w:szCs w:val="21"/>
    </w:rPr>
  </w:style>
  <w:style w:type="paragraph" w:customStyle="1" w:styleId="72">
    <w:name w:val="Lieu et date"/>
    <w:basedOn w:val="1"/>
    <w:next w:val="70"/>
    <w:link w:val="74"/>
    <w:semiHidden/>
    <w:qFormat/>
    <w:uiPriority w:val="3"/>
    <w:pPr>
      <w:keepNext/>
      <w:spacing w:before="360"/>
    </w:pPr>
  </w:style>
  <w:style w:type="character" w:customStyle="1" w:styleId="73">
    <w:name w:val="Fonction signataire Car"/>
    <w:basedOn w:val="59"/>
    <w:link w:val="70"/>
    <w:semiHidden/>
    <w:qFormat/>
    <w:uiPriority w:val="4"/>
    <w:rPr>
      <w:color w:val="000000"/>
      <w:szCs w:val="21"/>
    </w:rPr>
  </w:style>
  <w:style w:type="character" w:customStyle="1" w:styleId="74">
    <w:name w:val="Lieu et date Car"/>
    <w:basedOn w:val="11"/>
    <w:link w:val="72"/>
    <w:semiHidden/>
    <w:qFormat/>
    <w:uiPriority w:val="3"/>
    <w:rPr>
      <w:color w:val="000000"/>
      <w:szCs w:val="21"/>
    </w:rPr>
  </w:style>
  <w:style w:type="table" w:styleId="75">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paragraph" w:customStyle="1" w:styleId="76">
    <w:name w:val="Délibéré"/>
    <w:basedOn w:val="1"/>
    <w:link w:val="77"/>
    <w:semiHidden/>
    <w:qFormat/>
    <w:uiPriority w:val="0"/>
    <w:pPr>
      <w:spacing w:before="360"/>
    </w:pPr>
  </w:style>
  <w:style w:type="character" w:customStyle="1" w:styleId="77">
    <w:name w:val="Délibéré Car"/>
    <w:basedOn w:val="11"/>
    <w:link w:val="76"/>
    <w:semiHidden/>
    <w:qFormat/>
    <w:uiPriority w:val="0"/>
    <w:rPr>
      <w:color w:val="000000"/>
      <w:szCs w:val="21"/>
    </w:rPr>
  </w:style>
  <w:style w:type="character" w:customStyle="1" w:styleId="78">
    <w:name w:val="Sous-titre Car"/>
    <w:basedOn w:val="11"/>
    <w:link w:val="16"/>
    <w:qFormat/>
    <w:uiPriority w:val="5"/>
    <w:rPr>
      <w:rFonts w:ascii="Marianne" w:hAnsi="Marianne" w:eastAsiaTheme="majorEastAsia" w:cstheme="majorBidi"/>
      <w:b/>
      <w:iCs/>
      <w:color w:val="3891AF" w:themeColor="accent5" w:themeShade="BF"/>
      <w:spacing w:val="15"/>
      <w:sz w:val="24"/>
      <w:szCs w:val="24"/>
    </w:rPr>
  </w:style>
  <w:style w:type="table" w:customStyle="1" w:styleId="79">
    <w:name w:val="Tableau Arcep 2"/>
    <w:basedOn w:val="58"/>
    <w:qFormat/>
    <w:uiPriority w:val="99"/>
    <w:tblPr>
      <w:tblBorders>
        <w:top w:val="single" w:color="232253" w:themeColor="text2" w:sz="4" w:space="0"/>
        <w:left w:val="single" w:color="232253" w:themeColor="text2" w:sz="4" w:space="0"/>
        <w:bottom w:val="single" w:color="232253" w:themeColor="text2" w:sz="4" w:space="0"/>
        <w:right w:val="single" w:color="232253" w:themeColor="text2" w:sz="4" w:space="0"/>
        <w:insideH w:val="single" w:color="232253" w:themeColor="text2" w:sz="4" w:space="0"/>
        <w:insideV w:val="single" w:color="232253" w:themeColor="text2" w:sz="4" w:space="0"/>
      </w:tblBorders>
    </w:tblPr>
    <w:trPr>
      <w:cantSplit/>
    </w:trPr>
    <w:tcPr>
      <w:shd w:val="clear" w:color="auto" w:fill="auto"/>
    </w:tcPr>
    <w:tblStylePr w:type="firstRow">
      <w:pPr>
        <w:jc w:val="left"/>
      </w:pPr>
      <w:rPr>
        <w:rFonts w:asciiTheme="minorHAnsi" w:hAnsiTheme="minorHAnsi"/>
        <w:b/>
        <w:color w:val="auto"/>
        <w:sz w:val="22"/>
      </w:rPr>
      <w:tcPr>
        <w:tcBorders>
          <w:bottom w:val="single" w:color="232253" w:themeColor="text2" w:sz="12"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80">
    <w:name w:val="Calendrier 1"/>
    <w:basedOn w:val="35"/>
    <w:qFormat/>
    <w:uiPriority w:val="99"/>
    <w:pPr>
      <w:spacing w:after="0" w:line="240" w:lineRule="auto"/>
    </w:pPr>
    <w:rPr>
      <w:rFonts w:eastAsiaTheme="minorEastAsia"/>
      <w:lang w:eastAsia="fr-FR"/>
    </w:r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cPr>
        <w:vAlign w:val="bottom"/>
      </w:tcPr>
    </w:tblStylePr>
    <w:tblStylePr w:type="lastRow">
      <w:tcPr>
        <w:tcBorders>
          <w:top w:val="nil"/>
          <w:left w:val="nil"/>
          <w:bottom w:val="nil"/>
          <w:right w:val="nil"/>
          <w:insideH w:val="nil"/>
          <w:insideV w:val="nil"/>
          <w:tl2br w:val="nil"/>
          <w:tr2bl w:val="nil"/>
        </w:tcBorders>
        <w:shd w:val="clear" w:color="auto" w:fill="auto"/>
      </w:tcPr>
    </w:tblStylePr>
    <w:tblStylePr w:type="band1Horz">
      <w:tcPr>
        <w:tcBorders>
          <w:top w:val="nil"/>
          <w:left w:val="nil"/>
          <w:bottom w:val="nil"/>
          <w:right w:val="nil"/>
          <w:insideH w:val="nil"/>
          <w:insideV w:val="nil"/>
          <w:tl2br w:val="nil"/>
          <w:tr2bl w:val="nil"/>
        </w:tcBorders>
        <w:shd w:val="clear" w:color="auto" w:fill="auto"/>
      </w:tcPr>
    </w:tblStylePr>
    <w:tblStylePr w:type="band2Horz">
      <w:tcPr>
        <w:tcBorders>
          <w:top w:val="single" w:color="000000" w:themeColor="text1" w:sz="24" w:space="0"/>
          <w:left w:val="nil"/>
          <w:bottom w:val="single" w:color="000000" w:themeColor="text1" w:sz="24" w:space="0"/>
          <w:right w:val="nil"/>
          <w:insideH w:val="nil"/>
          <w:insideV w:val="nil"/>
          <w:tl2br w:val="nil"/>
          <w:tr2bl w:val="nil"/>
        </w:tcBorders>
        <w:shd w:val="clear" w:color="auto" w:fill="auto"/>
      </w:tcPr>
    </w:tblStylePr>
  </w:style>
  <w:style w:type="character" w:customStyle="1" w:styleId="81">
    <w:name w:val="Unresolved Mention"/>
    <w:basedOn w:val="11"/>
    <w:semiHidden/>
    <w:unhideWhenUsed/>
    <w:qFormat/>
    <w:uiPriority w:val="99"/>
    <w:rPr>
      <w:color w:val="605E5C"/>
      <w:shd w:val="clear" w:color="auto" w:fill="E1DFDD"/>
    </w:rPr>
  </w:style>
  <w:style w:type="paragraph" w:customStyle="1" w:styleId="82">
    <w:name w:val="TOC Heading"/>
    <w:basedOn w:val="2"/>
    <w:next w:val="1"/>
    <w:unhideWhenUsed/>
    <w:qFormat/>
    <w:uiPriority w:val="39"/>
    <w:pPr>
      <w:numPr>
        <w:ilvl w:val="0"/>
        <w:numId w:val="0"/>
      </w:numPr>
      <w:spacing w:before="240" w:after="0" w:line="259" w:lineRule="auto"/>
      <w:outlineLvl w:val="9"/>
    </w:pPr>
    <w:rPr>
      <w:rFonts w:asciiTheme="majorHAnsi" w:hAnsiTheme="majorHAnsi" w:cstheme="majorBidi"/>
      <w:b w:val="0"/>
      <w:bCs w:val="0"/>
      <w:color w:val="063B6B" w:themeColor="accent1" w:themeShade="BF"/>
      <w:sz w:val="32"/>
      <w:szCs w:val="32"/>
      <w:lang w:eastAsia="fr-FR"/>
    </w:rPr>
  </w:style>
  <w:style w:type="character" w:customStyle="1" w:styleId="83">
    <w:name w:val="Commentaire Car"/>
    <w:basedOn w:val="11"/>
    <w:link w:val="21"/>
    <w:qFormat/>
    <w:uiPriority w:val="99"/>
    <w:rPr>
      <w:rFonts w:ascii="Marianne" w:hAnsi="Marianne"/>
      <w:color w:val="000000" w:themeColor="text1"/>
      <w:sz w:val="20"/>
      <w:szCs w:val="20"/>
      <w14:textFill>
        <w14:solidFill>
          <w14:schemeClr w14:val="tx1"/>
        </w14:solidFill>
      </w14:textFill>
    </w:rPr>
  </w:style>
  <w:style w:type="character" w:customStyle="1" w:styleId="84">
    <w:name w:val="Objet du commentaire Car"/>
    <w:basedOn w:val="83"/>
    <w:link w:val="20"/>
    <w:semiHidden/>
    <w:qFormat/>
    <w:uiPriority w:val="99"/>
    <w:rPr>
      <w:rFonts w:ascii="Marianne" w:hAnsi="Marianne"/>
      <w:b/>
      <w:bCs/>
      <w:color w:val="000000" w:themeColor="text1"/>
      <w:sz w:val="20"/>
      <w:szCs w:val="20"/>
      <w14:textFill>
        <w14:solidFill>
          <w14:schemeClr w14:val="tx1"/>
        </w14:solidFill>
      </w14:textFill>
    </w:rPr>
  </w:style>
  <w:style w:type="table" w:customStyle="1" w:styleId="85">
    <w:name w:val="Grille du tableau1"/>
    <w:basedOn w:val="35"/>
    <w:qFormat/>
    <w:uiPriority w:val="59"/>
    <w:pPr>
      <w:spacing w:before="200"/>
    </w:pPr>
    <w:rPr>
      <w:rFonts w:ascii="Calibri" w:hAnsi="Calibri" w:eastAsia="MS Mincho" w:cs="Times New Roman"/>
      <w:lang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
    <w:name w:val="Paragraphe de liste Car"/>
    <w:basedOn w:val="11"/>
    <w:link w:val="18"/>
    <w:qFormat/>
    <w:locked/>
    <w:uiPriority w:val="34"/>
    <w:rPr>
      <w:rFonts w:ascii="Marianne" w:hAnsi="Marianne"/>
      <w:color w:val="000000" w:themeColor="text1"/>
      <w:szCs w:val="21"/>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ubert\AppData\Local\Temp\Note.dotx" TargetMode="External"/></Relationships>
</file>

<file path=word/theme/theme1.xml><?xml version="1.0" encoding="utf-8"?>
<a:theme xmlns:a="http://schemas.openxmlformats.org/drawingml/2006/main" name="ARCEP 2016">
  <a:themeElements>
    <a:clrScheme name="Arcep pivote 5">
      <a:dk1>
        <a:srgbClr val="000000"/>
      </a:dk1>
      <a:lt1>
        <a:sysClr val="window" lastClr="FFFFFF"/>
      </a:lt1>
      <a:dk2>
        <a:srgbClr val="232253"/>
      </a:dk2>
      <a:lt2>
        <a:srgbClr val="C9C0B1"/>
      </a:lt2>
      <a:accent1>
        <a:srgbClr val="084E8E"/>
      </a:accent1>
      <a:accent2>
        <a:srgbClr val="CDE5F6"/>
      </a:accent2>
      <a:accent3>
        <a:srgbClr val="E56463"/>
      </a:accent3>
      <a:accent4>
        <a:srgbClr val="6560A8"/>
      </a:accent4>
      <a:accent5>
        <a:srgbClr val="67B4CE"/>
      </a:accent5>
      <a:accent6>
        <a:srgbClr val="F07374"/>
      </a:accent6>
      <a:hlink>
        <a:srgbClr val="5AC5CD"/>
      </a:hlink>
      <a:folHlink>
        <a:srgbClr val="E67FA3"/>
      </a:folHlink>
    </a:clrScheme>
    <a:fontScheme name="ARCEP presentation">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GB.XSL" StyleName="GB7714"/>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E997C78227BE8479796583E7FE9AF5B" ma:contentTypeVersion="2" ma:contentTypeDescription="Crée un document." ma:contentTypeScope="" ma:versionID="a5c031496aa6c8657b26dc4249454a05">
  <xsd:schema xmlns:xsd="http://www.w3.org/2001/XMLSchema" xmlns:xs="http://www.w3.org/2001/XMLSchema" xmlns:p="http://schemas.microsoft.com/office/2006/metadata/properties" xmlns:ns1="http://schemas.microsoft.com/sharepoint/v3" xmlns:ns2="0fdf0f57-bdd0-4a9a-8a03-a0c3dbf46d54" targetNamespace="http://schemas.microsoft.com/office/2006/metadata/properties" ma:root="true" ma:fieldsID="3ed1a9cffdcd8414a1b97821a1ccea3e" ns1:_="" ns2:_="">
    <xsd:import namespace="http://schemas.microsoft.com/sharepoint/v3"/>
    <xsd:import namespace="0fdf0f57-bdd0-4a9a-8a03-a0c3dbf46d54"/>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aru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aru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df0f57-bdd0-4a9a-8a03-a0c3dbf46d5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A3389-DF36-4402-ADA3-010DFF3EF199}">
  <ds:schemaRefs/>
</ds:datastoreItem>
</file>

<file path=customXml/itemProps3.xml><?xml version="1.0" encoding="utf-8"?>
<ds:datastoreItem xmlns:ds="http://schemas.openxmlformats.org/officeDocument/2006/customXml" ds:itemID="{A0530E89-1C9A-44F1-90C5-D7AACBA2412F}">
  <ds:schemaRefs/>
</ds:datastoreItem>
</file>

<file path=customXml/itemProps4.xml><?xml version="1.0" encoding="utf-8"?>
<ds:datastoreItem xmlns:ds="http://schemas.openxmlformats.org/officeDocument/2006/customXml" ds:itemID="{5E193B2E-45AF-42E9-9481-39C16DD46B08}">
  <ds:schemaRefs/>
</ds:datastoreItem>
</file>

<file path=customXml/itemProps5.xml><?xml version="1.0" encoding="utf-8"?>
<ds:datastoreItem xmlns:ds="http://schemas.openxmlformats.org/officeDocument/2006/customXml" ds:itemID="{A89BC212-C914-43CE-BE69-C6A0A3F0AE7D}">
  <ds:schemaRefs/>
</ds:datastoreItem>
</file>

<file path=docProps/app.xml><?xml version="1.0" encoding="utf-8"?>
<Properties xmlns="http://schemas.openxmlformats.org/officeDocument/2006/extended-properties" xmlns:vt="http://schemas.openxmlformats.org/officeDocument/2006/docPropsVTypes">
  <Template>Note.dotx</Template>
  <Company>ARCEP</Company>
  <Pages>9</Pages>
  <Words>2805</Words>
  <Characters>15430</Characters>
  <Lines>128</Lines>
  <Paragraphs>36</Paragraphs>
  <TotalTime>1</TotalTime>
  <ScaleCrop>false</ScaleCrop>
  <LinksUpToDate>false</LinksUpToDate>
  <CharactersWithSpaces>18199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2025-01-06T09:32:00Z</dcterms:created>
  <dc:creator>Anais Aubert</dc:creator>
  <cp:lastModifiedBy>Bernard Velez</cp:lastModifiedBy>
  <cp:lastPrinted>2026-03-05T07:11:00Z</cp:lastPrinted>
  <dcterms:modified xsi:type="dcterms:W3CDTF">2026-03-18T06:28:56Z</dcterms:modified>
  <dc:title>Modèle Note IGN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0x0101004E997C78227BE8479796583E7FE9AF5B</vt:lpwstr>
  </property>
  <property fmtid="{D5CDD505-2E9C-101B-9397-08002B2CF9AE}" pid="3" name="KSOProductBuildVer">
    <vt:lpwstr>1036-12.2.0.23196</vt:lpwstr>
  </property>
  <property fmtid="{D5CDD505-2E9C-101B-9397-08002B2CF9AE}" pid="4" name="ICV">
    <vt:lpwstr>D8F14CB0B51244DAB5B9E0CB5F4CD28F_12</vt:lpwstr>
  </property>
</Properties>
</file>